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8"/>
        <w:framePr w:w="0" w:hRule="auto" w:wrap="auto" w:vAnchor="margin" w:hAnchor="text" w:xAlign="left" w:yAlign="inline"/>
        <w:jc w:val="both"/>
        <w:rPr>
          <w:rFonts w:ascii="黑体" w:hAnsi="黑体" w:eastAsia="黑体"/>
          <w:b w:val="0"/>
          <w:w w:val="100"/>
          <w:sz w:val="28"/>
          <w:szCs w:val="28"/>
        </w:rPr>
      </w:pPr>
      <w:bookmarkStart w:id="1" w:name="_GoBack"/>
      <w:bookmarkEnd w:id="1"/>
      <w:bookmarkStart w:id="0" w:name="_Toc102292521"/>
      <w:r>
        <w:rPr>
          <w:rFonts w:hint="eastAsia" w:ascii="黑体" w:hAnsi="黑体" w:eastAsia="黑体"/>
          <w:b w:val="0"/>
          <w:w w:val="100"/>
          <w:sz w:val="28"/>
          <w:szCs w:val="28"/>
        </w:rPr>
        <w:t>+</w:t>
      </w:r>
    </w:p>
    <w:p>
      <w:r>
        <w:drawing>
          <wp:anchor distT="0" distB="0" distL="657860" distR="63500" simplePos="0" relativeHeight="251660288" behindDoc="0" locked="0" layoutInCell="1" allowOverlap="1">
            <wp:simplePos x="0" y="0"/>
            <wp:positionH relativeFrom="margin">
              <wp:align>right</wp:align>
            </wp:positionH>
            <wp:positionV relativeFrom="paragraph">
              <wp:posOffset>10160</wp:posOffset>
            </wp:positionV>
            <wp:extent cx="1322705" cy="694690"/>
            <wp:effectExtent l="0" t="0" r="0" b="0"/>
            <wp:wrapNone/>
            <wp:docPr id="3" name="图片 3" descr="C:\Users\jyx\AppData\Local\Microsoft\Windows\INetCache\Content.Outlook\V6EEJ2DC\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jyx\AppData\Local\Microsoft\Windows\INetCache\Content.Outlook\V6EEJ2DC\media\image1.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322705" cy="694690"/>
                    </a:xfrm>
                    <a:prstGeom prst="rect">
                      <a:avLst/>
                    </a:prstGeom>
                    <a:noFill/>
                    <a:ln>
                      <a:noFill/>
                    </a:ln>
                  </pic:spPr>
                </pic:pic>
              </a:graphicData>
            </a:graphic>
          </wp:anchor>
        </w:drawing>
      </w:r>
    </w:p>
    <w:p>
      <w:pPr>
        <w:pStyle w:val="28"/>
        <w:framePr w:w="0" w:hRule="auto" w:wrap="auto" w:vAnchor="margin" w:hAnchor="text" w:xAlign="left" w:yAlign="inline"/>
        <w:jc w:val="both"/>
        <w:rPr>
          <w:rFonts w:eastAsia="楷体_GB2312"/>
          <w:sz w:val="28"/>
          <w:szCs w:val="28"/>
        </w:rPr>
      </w:pPr>
      <w:r>
        <w:rPr>
          <w:rFonts w:eastAsia="楷体_GB2312"/>
          <w:sz w:val="28"/>
          <w:szCs w:val="28"/>
        </w:rPr>
        <w:t>UDC</w:t>
      </w:r>
    </w:p>
    <w:p>
      <w:pPr>
        <w:jc w:val="center"/>
        <w:rPr>
          <w:rFonts w:ascii="黑体" w:eastAsia="黑体"/>
          <w:sz w:val="32"/>
          <w:szCs w:val="32"/>
        </w:rPr>
      </w:pPr>
      <w:r>
        <w:rPr>
          <w:rFonts w:hint="eastAsia" w:ascii="黑体" w:eastAsia="黑体"/>
          <w:sz w:val="32"/>
          <w:szCs w:val="32"/>
        </w:rPr>
        <w:t>中华人民共和国行业标准</w:t>
      </w:r>
    </w:p>
    <w:p>
      <w:pPr>
        <w:rPr>
          <w:sz w:val="28"/>
          <w:szCs w:val="28"/>
        </w:rPr>
      </w:pPr>
    </w:p>
    <w:p>
      <w:pPr>
        <w:jc w:val="distribute"/>
        <w:rPr>
          <w:sz w:val="28"/>
          <w:szCs w:val="28"/>
        </w:rPr>
      </w:pPr>
      <w:r>
        <w:rPr>
          <w:rFonts w:hint="eastAsia"/>
          <w:sz w:val="28"/>
          <w:szCs w:val="28"/>
        </w:rPr>
        <w:t xml:space="preserve">P                                   </w:t>
      </w:r>
      <w:r>
        <w:rPr>
          <w:rFonts w:hint="eastAsia" w:ascii="黑体" w:hAnsi="黑体" w:eastAsia="黑体"/>
          <w:sz w:val="28"/>
          <w:szCs w:val="28"/>
        </w:rPr>
        <w:t>CJJ 179－2020</w:t>
      </w:r>
    </w:p>
    <w:p>
      <w:pPr>
        <w:jc w:val="distribute"/>
        <w:rPr>
          <w:rFonts w:ascii="黑体" w:hAnsi="黑体" w:eastAsia="黑体"/>
          <w:sz w:val="28"/>
          <w:szCs w:val="28"/>
        </w:rPr>
      </w:pPr>
      <w:r>
        <w:rPr>
          <w:rFonts w:hint="eastAsia"/>
          <w:sz w:val="28"/>
          <w:szCs w:val="28"/>
        </w:rPr>
        <w:t xml:space="preserve">                                         </w:t>
      </w:r>
      <w:r>
        <w:rPr>
          <w:rFonts w:hint="eastAsia" w:ascii="黑体" w:hAnsi="黑体" w:eastAsia="黑体"/>
          <w:sz w:val="28"/>
          <w:szCs w:val="28"/>
        </w:rPr>
        <w:t>备案号J x－20xx</w:t>
      </w:r>
    </w:p>
    <w:p>
      <w:pPr>
        <w:spacing w:line="480" w:lineRule="auto"/>
        <w:jc w:val="center"/>
        <w:rPr>
          <w:b/>
          <w:sz w:val="52"/>
        </w:rPr>
      </w:pPr>
      <w:r>
        <mc:AlternateContent>
          <mc:Choice Requires="wps">
            <w:drawing>
              <wp:anchor distT="0" distB="0" distL="114300" distR="114300" simplePos="0" relativeHeight="251659264" behindDoc="0" locked="0" layoutInCell="1" allowOverlap="1">
                <wp:simplePos x="0" y="0"/>
                <wp:positionH relativeFrom="column">
                  <wp:posOffset>-410845</wp:posOffset>
                </wp:positionH>
                <wp:positionV relativeFrom="paragraph">
                  <wp:posOffset>178435</wp:posOffset>
                </wp:positionV>
                <wp:extent cx="6045200" cy="7620"/>
                <wp:effectExtent l="0" t="0" r="12700" b="11430"/>
                <wp:wrapNone/>
                <wp:docPr id="9" name="Line 4"/>
                <wp:cNvGraphicFramePr/>
                <a:graphic xmlns:a="http://schemas.openxmlformats.org/drawingml/2006/main">
                  <a:graphicData uri="http://schemas.microsoft.com/office/word/2010/wordprocessingShape">
                    <wps:wsp>
                      <wps:cNvCnPr>
                        <a:cxnSpLocks noChangeShapeType="1"/>
                      </wps:cNvCnPr>
                      <wps:spPr bwMode="auto">
                        <a:xfrm flipV="1">
                          <a:off x="0" y="0"/>
                          <a:ext cx="6045200" cy="7620"/>
                        </a:xfrm>
                        <a:prstGeom prst="line">
                          <a:avLst/>
                        </a:prstGeom>
                        <a:noFill/>
                        <a:ln w="9525">
                          <a:solidFill>
                            <a:srgbClr val="000000"/>
                          </a:solidFill>
                          <a:round/>
                        </a:ln>
                      </wps:spPr>
                      <wps:bodyPr/>
                    </wps:wsp>
                  </a:graphicData>
                </a:graphic>
              </wp:anchor>
            </w:drawing>
          </mc:Choice>
          <mc:Fallback>
            <w:pict>
              <v:line id="Line 4" o:spid="_x0000_s1026" o:spt="20" style="position:absolute;left:0pt;flip:y;margin-left:-32.35pt;margin-top:14.05pt;height:0.6pt;width:476pt;z-index:251659264;mso-width-relative:page;mso-height-relative:page;" filled="f" stroked="t" coordsize="21600,21600" o:gfxdata="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E1KcqTYAAAACQEAAA8AAAAAAAAAAQAgAAAA&#10;IgAAAGRycy9kb3ducmV2LnhtbFBLAQIUABQAAAAIAIdO4kDtmoH80gEAAKwDAAAOAAAAAAAAAAEA&#10;IAAAACcBAABkcnMvZTJvRG9jLnhtbFBLBQYAAAAABgAGAFkBAABrBQAAAAA=&#10;">
                <v:fill on="f" focussize="0,0"/>
                <v:stroke color="#000000" joinstyle="round"/>
                <v:imagedata o:title=""/>
                <o:lock v:ext="edit" aspectratio="f"/>
              </v:line>
            </w:pict>
          </mc:Fallback>
        </mc:AlternateContent>
      </w:r>
    </w:p>
    <w:p>
      <w:pPr>
        <w:spacing w:line="360" w:lineRule="auto"/>
        <w:jc w:val="center"/>
        <w:rPr>
          <w:b/>
          <w:sz w:val="52"/>
          <w:szCs w:val="20"/>
        </w:rPr>
      </w:pPr>
    </w:p>
    <w:p>
      <w:pPr>
        <w:keepNext/>
        <w:keepLines/>
        <w:spacing w:after="347"/>
        <w:jc w:val="center"/>
        <w:outlineLvl w:val="0"/>
        <w:rPr>
          <w:rFonts w:ascii="黑体" w:hAnsi="黑体" w:eastAsia="黑体" w:cs="宋体"/>
          <w:w w:val="95"/>
          <w:sz w:val="52"/>
          <w:szCs w:val="42"/>
        </w:rPr>
      </w:pPr>
      <w:r>
        <w:rPr>
          <w:rFonts w:ascii="黑体" w:hAnsi="黑体" w:eastAsia="黑体" w:cs="宋体"/>
          <w:bCs/>
          <w:sz w:val="48"/>
          <w:szCs w:val="44"/>
        </w:rPr>
        <w:t>生活垃圾收集站技术</w:t>
      </w:r>
      <w:r>
        <w:rPr>
          <w:rFonts w:hint="eastAsia" w:ascii="黑体" w:hAnsi="黑体" w:eastAsia="黑体" w:cs="宋体"/>
          <w:bCs/>
          <w:sz w:val="48"/>
          <w:szCs w:val="44"/>
        </w:rPr>
        <w:t>标准</w:t>
      </w:r>
    </w:p>
    <w:p>
      <w:pPr>
        <w:autoSpaceDE w:val="0"/>
        <w:autoSpaceDN w:val="0"/>
        <w:adjustRightInd w:val="0"/>
        <w:jc w:val="center"/>
        <w:rPr>
          <w:sz w:val="32"/>
          <w:szCs w:val="32"/>
        </w:rPr>
      </w:pPr>
      <w:r>
        <w:rPr>
          <w:sz w:val="32"/>
          <w:szCs w:val="32"/>
        </w:rPr>
        <w:t>Standard for municipal solid waste collecting station</w:t>
      </w:r>
    </w:p>
    <w:p>
      <w:pPr>
        <w:autoSpaceDE w:val="0"/>
        <w:autoSpaceDN w:val="0"/>
        <w:adjustRightInd w:val="0"/>
        <w:jc w:val="center"/>
        <w:rPr>
          <w:kern w:val="0"/>
          <w:sz w:val="36"/>
          <w:szCs w:val="36"/>
        </w:rPr>
      </w:pPr>
      <w:r>
        <w:rPr>
          <w:rFonts w:hAnsi="宋体"/>
          <w:sz w:val="32"/>
          <w:szCs w:val="32"/>
        </w:rPr>
        <w:t>（</w:t>
      </w:r>
      <w:r>
        <w:rPr>
          <w:rFonts w:hint="eastAsia" w:hAnsi="宋体"/>
          <w:sz w:val="32"/>
          <w:szCs w:val="32"/>
        </w:rPr>
        <w:t>征求意见稿</w:t>
      </w:r>
      <w:r>
        <w:rPr>
          <w:rFonts w:hint="eastAsia" w:ascii="黑体" w:eastAsia="黑体"/>
          <w:sz w:val="32"/>
          <w:szCs w:val="32"/>
        </w:rPr>
        <w:t>）</w:t>
      </w: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spacing w:line="480" w:lineRule="auto"/>
        <w:rPr>
          <w:rFonts w:eastAsia="黑体"/>
          <w:sz w:val="28"/>
          <w:szCs w:val="28"/>
        </w:rPr>
      </w:pPr>
      <w:r>
        <w:rPr>
          <w:rFonts w:eastAsia="黑体"/>
          <w:sz w:val="28"/>
          <w:szCs w:val="28"/>
        </w:rPr>
        <w:t>20XX－XX－XX  发布                20XX－XX－XX  实施</w:t>
      </w:r>
    </w:p>
    <w:p>
      <w:pPr>
        <w:rPr>
          <w:sz w:val="28"/>
          <w:szCs w:val="28"/>
        </w:rPr>
      </w:pPr>
      <w:r>
        <w:rPr>
          <w:sz w:val="28"/>
          <w:szCs w:val="28"/>
        </w:rPr>
        <mc:AlternateContent>
          <mc:Choice Requires="wps">
            <w:drawing>
              <wp:anchor distT="0" distB="0" distL="114300" distR="114300" simplePos="0" relativeHeight="251661312" behindDoc="0" locked="0" layoutInCell="1" allowOverlap="1">
                <wp:simplePos x="0" y="0"/>
                <wp:positionH relativeFrom="column">
                  <wp:posOffset>-66040</wp:posOffset>
                </wp:positionH>
                <wp:positionV relativeFrom="paragraph">
                  <wp:posOffset>24765</wp:posOffset>
                </wp:positionV>
                <wp:extent cx="5514340" cy="0"/>
                <wp:effectExtent l="8255" t="5080" r="11430" b="13970"/>
                <wp:wrapNone/>
                <wp:docPr id="1" name="直接连接符 1"/>
                <wp:cNvGraphicFramePr/>
                <a:graphic xmlns:a="http://schemas.openxmlformats.org/drawingml/2006/main">
                  <a:graphicData uri="http://schemas.microsoft.com/office/word/2010/wordprocessingShape">
                    <wps:wsp>
                      <wps:cNvCnPr>
                        <a:cxnSpLocks noChangeShapeType="1"/>
                      </wps:cNvCnPr>
                      <wps:spPr bwMode="auto">
                        <a:xfrm>
                          <a:off x="0" y="0"/>
                          <a:ext cx="551434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5.2pt;margin-top:1.95pt;height:0pt;width:434.2pt;z-index:251661312;mso-width-relative:page;mso-height-relative:page;" filled="f" stroked="t" coordsize="21600,21600" o:gfxdata="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YQn/T1QAAAAcBAAAP&#10;AAAAAAAAAAEAIAAAACIAAABkcnMvZG93bnJldi54bWxQSwECFAAUAAAACACHTuJAC3vbm+IBAACq&#10;AwAADgAAAAAAAAABACAAAAAkAQAAZHJzL2Uyb0RvYy54bWxQSwUGAAAAAAYABgBZAQAAeAUAAAAA&#10;">
                <v:fill on="f" focussize="0,0"/>
                <v:stroke color="#000000" joinstyle="round"/>
                <v:imagedata o:title=""/>
                <o:lock v:ext="edit" aspectratio="f"/>
              </v:line>
            </w:pict>
          </mc:Fallback>
        </mc:AlternateContent>
      </w:r>
    </w:p>
    <w:p>
      <w:pPr>
        <w:jc w:val="center"/>
        <w:rPr>
          <w:rFonts w:ascii="黑体" w:eastAsia="黑体"/>
          <w:sz w:val="32"/>
          <w:szCs w:val="32"/>
        </w:rPr>
      </w:pPr>
      <w:r>
        <w:tab/>
      </w:r>
      <w:r>
        <w:rPr>
          <w:rFonts w:hint="eastAsia" w:ascii="黑体" w:eastAsia="黑体"/>
          <w:sz w:val="32"/>
          <w:szCs w:val="32"/>
        </w:rPr>
        <w:t>中华人民共和国住房和城乡建设部  发布</w:t>
      </w:r>
    </w:p>
    <w:p>
      <w:pPr>
        <w:jc w:val="center"/>
        <w:rPr>
          <w:rFonts w:ascii="黑体" w:eastAsia="黑体"/>
          <w:sz w:val="32"/>
          <w:szCs w:val="32"/>
        </w:rPr>
      </w:pPr>
    </w:p>
    <w:p>
      <w:pPr>
        <w:jc w:val="center"/>
        <w:rPr>
          <w:b/>
          <w:sz w:val="32"/>
          <w:szCs w:val="32"/>
        </w:rPr>
      </w:pPr>
      <w:r>
        <w:rPr>
          <w:b/>
          <w:sz w:val="32"/>
          <w:szCs w:val="32"/>
        </w:rPr>
        <w:t>修订说明</w:t>
      </w:r>
    </w:p>
    <w:p>
      <w:pPr>
        <w:ind w:firstLine="592" w:firstLineChars="200"/>
        <w:rPr>
          <w:spacing w:val="8"/>
          <w:kern w:val="0"/>
          <w:sz w:val="28"/>
          <w:szCs w:val="28"/>
        </w:rPr>
      </w:pPr>
      <w:r>
        <w:rPr>
          <w:spacing w:val="8"/>
          <w:kern w:val="0"/>
          <w:sz w:val="28"/>
          <w:szCs w:val="28"/>
        </w:rPr>
        <w:t>本次局部修订是根据住房和城乡建设部</w:t>
      </w:r>
      <w:r>
        <w:rPr>
          <w:rFonts w:hint="eastAsia"/>
          <w:spacing w:val="8"/>
          <w:kern w:val="0"/>
          <w:sz w:val="28"/>
          <w:szCs w:val="28"/>
        </w:rPr>
        <w:t>《关于印发2020年工程建设规范标准编制及相关工作计划的通知》（建标函[2020]9号）</w:t>
      </w:r>
      <w:r>
        <w:rPr>
          <w:spacing w:val="8"/>
          <w:kern w:val="0"/>
          <w:sz w:val="28"/>
          <w:szCs w:val="28"/>
        </w:rPr>
        <w:t>的要求，由</w:t>
      </w:r>
      <w:r>
        <w:rPr>
          <w:spacing w:val="8"/>
          <w:sz w:val="28"/>
          <w:szCs w:val="28"/>
          <w:u w:val="single"/>
        </w:rPr>
        <w:t>海沃机械（中国）有限公司</w:t>
      </w:r>
      <w:r>
        <w:rPr>
          <w:rFonts w:hint="eastAsia"/>
          <w:spacing w:val="8"/>
          <w:kern w:val="0"/>
          <w:sz w:val="28"/>
          <w:szCs w:val="28"/>
          <w:u w:val="single"/>
        </w:rPr>
        <w:t>、</w:t>
      </w:r>
      <w:r>
        <w:rPr>
          <w:rFonts w:hint="eastAsia"/>
          <w:color w:val="000000" w:themeColor="text1"/>
          <w:spacing w:val="6"/>
          <w:kern w:val="0"/>
          <w:sz w:val="28"/>
          <w:szCs w:val="28"/>
          <w:u w:val="words"/>
          <w14:textFill>
            <w14:solidFill>
              <w14:schemeClr w14:val="tx1"/>
            </w14:solidFill>
          </w14:textFill>
        </w:rPr>
        <w:t>青岛市环境卫生发展中心</w:t>
      </w:r>
      <w:r>
        <w:rPr>
          <w:spacing w:val="8"/>
          <w:kern w:val="0"/>
          <w:sz w:val="28"/>
          <w:szCs w:val="28"/>
        </w:rPr>
        <w:t>会同有关单位对</w:t>
      </w:r>
      <w:r>
        <w:rPr>
          <w:rFonts w:hint="eastAsia"/>
          <w:spacing w:val="8"/>
          <w:sz w:val="28"/>
          <w:szCs w:val="28"/>
          <w:u w:val="single"/>
        </w:rPr>
        <w:t>《生活垃圾收集站技术规程》CJJ179-2012</w:t>
      </w:r>
      <w:r>
        <w:rPr>
          <w:spacing w:val="8"/>
          <w:kern w:val="0"/>
          <w:sz w:val="28"/>
          <w:szCs w:val="28"/>
        </w:rPr>
        <w:t>进行局部修订。</w:t>
      </w:r>
    </w:p>
    <w:p>
      <w:pPr>
        <w:ind w:firstLine="592" w:firstLineChars="200"/>
        <w:rPr>
          <w:sz w:val="28"/>
          <w:szCs w:val="28"/>
        </w:rPr>
      </w:pPr>
      <w:r>
        <w:rPr>
          <w:spacing w:val="8"/>
          <w:kern w:val="0"/>
          <w:sz w:val="28"/>
          <w:szCs w:val="28"/>
        </w:rPr>
        <w:t>本次修订</w:t>
      </w:r>
      <w:r>
        <w:rPr>
          <w:sz w:val="28"/>
          <w:szCs w:val="28"/>
        </w:rPr>
        <w:t>的主要内容是：</w:t>
      </w:r>
      <w:r>
        <w:rPr>
          <w:rFonts w:hint="eastAsia"/>
          <w:spacing w:val="6"/>
          <w:kern w:val="0"/>
          <w:sz w:val="28"/>
          <w:szCs w:val="28"/>
          <w:u w:val="words"/>
        </w:rPr>
        <w:t>1.增加了垃圾分类相关要求；2</w:t>
      </w:r>
      <w:r>
        <w:rPr>
          <w:rFonts w:hint="eastAsia"/>
          <w:spacing w:val="6"/>
          <w:kern w:val="0"/>
          <w:sz w:val="28"/>
          <w:szCs w:val="28"/>
          <w:u w:val="single"/>
        </w:rPr>
        <w:t>.</w:t>
      </w:r>
      <w:r>
        <w:rPr>
          <w:rFonts w:hint="eastAsia"/>
          <w:spacing w:val="6"/>
          <w:kern w:val="0"/>
          <w:sz w:val="28"/>
          <w:szCs w:val="28"/>
          <w:u w:val="words"/>
        </w:rPr>
        <w:t>删除了有关“生活垃圾收集点”的所有条文和内容</w:t>
      </w:r>
      <w:r>
        <w:rPr>
          <w:spacing w:val="6"/>
          <w:kern w:val="0"/>
          <w:sz w:val="28"/>
          <w:szCs w:val="28"/>
          <w:u w:val="words"/>
        </w:rPr>
        <w:t>；</w:t>
      </w:r>
      <w:r>
        <w:rPr>
          <w:rFonts w:hint="eastAsia"/>
          <w:spacing w:val="6"/>
          <w:kern w:val="0"/>
          <w:sz w:val="28"/>
          <w:szCs w:val="28"/>
          <w:u w:val="words"/>
        </w:rPr>
        <w:t>3.优化了收集站的服务半径；</w:t>
      </w:r>
      <w:r>
        <w:rPr>
          <w:spacing w:val="6"/>
          <w:kern w:val="0"/>
          <w:sz w:val="28"/>
          <w:szCs w:val="28"/>
          <w:u w:val="words"/>
        </w:rPr>
        <w:t>4</w:t>
      </w:r>
      <w:r>
        <w:rPr>
          <w:rFonts w:hint="eastAsia"/>
          <w:spacing w:val="6"/>
          <w:kern w:val="0"/>
          <w:sz w:val="28"/>
          <w:szCs w:val="28"/>
          <w:u w:val="words"/>
        </w:rPr>
        <w:t>.修改、细化了收集站规模与用地指标；5.补充了收集站环境保护、安全与劳动卫生有关要求。</w:t>
      </w:r>
    </w:p>
    <w:p>
      <w:pPr>
        <w:ind w:firstLine="627" w:firstLineChars="212"/>
      </w:pPr>
      <w:r>
        <w:rPr>
          <w:spacing w:val="8"/>
          <w:kern w:val="0"/>
          <w:sz w:val="28"/>
          <w:szCs w:val="28"/>
        </w:rPr>
        <w:t>本标准中下划线表示修改的内容；用黑体字表示的条文为强制性条文，必须严格执行。</w:t>
      </w:r>
    </w:p>
    <w:p>
      <w:pPr>
        <w:ind w:firstLine="627" w:firstLineChars="212"/>
        <w:rPr>
          <w:spacing w:val="8"/>
          <w:kern w:val="0"/>
          <w:sz w:val="28"/>
          <w:szCs w:val="28"/>
        </w:rPr>
      </w:pPr>
      <w:r>
        <w:rPr>
          <w:spacing w:val="8"/>
          <w:kern w:val="0"/>
          <w:sz w:val="28"/>
          <w:szCs w:val="28"/>
        </w:rPr>
        <w:t>本标准由住房和城乡建设部负</w:t>
      </w:r>
      <w:r>
        <w:rPr>
          <w:color w:val="000000" w:themeColor="text1"/>
          <w:spacing w:val="8"/>
          <w:kern w:val="0"/>
          <w:sz w:val="28"/>
          <w:szCs w:val="28"/>
          <w14:textFill>
            <w14:solidFill>
              <w14:schemeClr w14:val="tx1"/>
            </w14:solidFill>
          </w14:textFill>
        </w:rPr>
        <w:t>责管理和对强制性条文</w:t>
      </w:r>
      <w:r>
        <w:rPr>
          <w:color w:val="000000" w:themeColor="text1"/>
          <w:spacing w:val="8"/>
          <w:sz w:val="28"/>
          <w:szCs w:val="28"/>
          <w:u w:val="single"/>
          <w14:textFill>
            <w14:solidFill>
              <w14:schemeClr w14:val="tx1"/>
            </w14:solidFill>
          </w14:textFill>
        </w:rPr>
        <w:t>第中</w:t>
      </w:r>
      <w:r>
        <w:rPr>
          <w:rFonts w:hint="eastAsia"/>
          <w:color w:val="000000" w:themeColor="text1"/>
          <w:spacing w:val="8"/>
          <w:sz w:val="28"/>
          <w:szCs w:val="28"/>
          <w:u w:val="single"/>
          <w14:textFill>
            <w14:solidFill>
              <w14:schemeClr w14:val="tx1"/>
            </w14:solidFill>
          </w14:textFill>
        </w:rPr>
        <w:t>7.1.2、7.1.5、7.2.2、7.2.3、9.0.5</w:t>
      </w:r>
      <w:r>
        <w:rPr>
          <w:color w:val="000000" w:themeColor="text1"/>
          <w:spacing w:val="8"/>
          <w:kern w:val="0"/>
          <w:sz w:val="28"/>
          <w:szCs w:val="28"/>
          <w14:textFill>
            <w14:solidFill>
              <w14:schemeClr w14:val="tx1"/>
            </w14:solidFill>
          </w14:textFill>
        </w:rPr>
        <w:t>的解释，</w:t>
      </w:r>
      <w:r>
        <w:rPr>
          <w:rFonts w:hint="eastAsia"/>
          <w:color w:val="000000" w:themeColor="text1"/>
          <w:spacing w:val="8"/>
          <w:kern w:val="0"/>
          <w:sz w:val="28"/>
          <w:szCs w:val="28"/>
          <w14:textFill>
            <w14:solidFill>
              <w14:schemeClr w14:val="tx1"/>
            </w14:solidFill>
          </w14:textFill>
        </w:rPr>
        <w:t>由</w:t>
      </w:r>
      <w:r>
        <w:rPr>
          <w:color w:val="000000" w:themeColor="text1"/>
          <w:spacing w:val="8"/>
          <w:sz w:val="28"/>
          <w:szCs w:val="28"/>
          <w:u w:val="single"/>
          <w14:textFill>
            <w14:solidFill>
              <w14:schemeClr w14:val="tx1"/>
            </w14:solidFill>
          </w14:textFill>
        </w:rPr>
        <w:t>海沃机械（中国）有限公司</w:t>
      </w:r>
      <w:r>
        <w:rPr>
          <w:rFonts w:hint="eastAsia"/>
          <w:color w:val="000000" w:themeColor="text1"/>
          <w:spacing w:val="8"/>
          <w:kern w:val="0"/>
          <w:sz w:val="28"/>
          <w:szCs w:val="28"/>
          <w:u w:val="single"/>
          <w14:textFill>
            <w14:solidFill>
              <w14:schemeClr w14:val="tx1"/>
            </w14:solidFill>
          </w14:textFill>
        </w:rPr>
        <w:t>、</w:t>
      </w:r>
      <w:r>
        <w:rPr>
          <w:rFonts w:hint="eastAsia"/>
          <w:color w:val="000000" w:themeColor="text1"/>
          <w:spacing w:val="6"/>
          <w:kern w:val="0"/>
          <w:sz w:val="28"/>
          <w:szCs w:val="28"/>
          <w:u w:val="words"/>
          <w14:textFill>
            <w14:solidFill>
              <w14:schemeClr w14:val="tx1"/>
            </w14:solidFill>
          </w14:textFill>
        </w:rPr>
        <w:t>青岛市环境卫生发展中心</w:t>
      </w:r>
      <w:r>
        <w:rPr>
          <w:color w:val="000000" w:themeColor="text1"/>
          <w:spacing w:val="8"/>
          <w:kern w:val="0"/>
          <w:sz w:val="28"/>
          <w:szCs w:val="28"/>
          <w14:textFill>
            <w14:solidFill>
              <w14:schemeClr w14:val="tx1"/>
            </w14:solidFill>
          </w14:textFill>
        </w:rPr>
        <w:t>负责具</w:t>
      </w:r>
      <w:r>
        <w:rPr>
          <w:spacing w:val="8"/>
          <w:kern w:val="0"/>
          <w:sz w:val="28"/>
          <w:szCs w:val="28"/>
        </w:rPr>
        <w:t>体技术内容的解释。执行过程中如有意见或建议，请寄送至</w:t>
      </w:r>
      <w:r>
        <w:rPr>
          <w:spacing w:val="8"/>
          <w:sz w:val="28"/>
          <w:szCs w:val="28"/>
          <w:u w:val="single"/>
        </w:rPr>
        <w:t>海沃机械（中国）有限公司（地址：</w:t>
      </w:r>
      <w:r>
        <w:rPr>
          <w:rFonts w:hint="eastAsia"/>
          <w:spacing w:val="8"/>
          <w:sz w:val="28"/>
          <w:szCs w:val="28"/>
          <w:u w:val="single"/>
        </w:rPr>
        <w:t>江苏省扬州市广陵经济开发区大众港路8号，</w:t>
      </w:r>
      <w:r>
        <w:rPr>
          <w:spacing w:val="8"/>
          <w:sz w:val="28"/>
          <w:szCs w:val="28"/>
          <w:u w:val="single"/>
        </w:rPr>
        <w:t>邮编：</w:t>
      </w:r>
      <w:r>
        <w:rPr>
          <w:rFonts w:hint="eastAsia"/>
          <w:spacing w:val="8"/>
          <w:sz w:val="28"/>
          <w:szCs w:val="28"/>
          <w:u w:val="single"/>
        </w:rPr>
        <w:t>225009</w:t>
      </w:r>
      <w:r>
        <w:rPr>
          <w:spacing w:val="8"/>
          <w:sz w:val="28"/>
          <w:szCs w:val="28"/>
          <w:u w:val="single"/>
        </w:rPr>
        <w:t>）</w:t>
      </w:r>
      <w:r>
        <w:rPr>
          <w:spacing w:val="8"/>
          <w:kern w:val="0"/>
          <w:sz w:val="28"/>
          <w:szCs w:val="28"/>
        </w:rPr>
        <w:t>。</w:t>
      </w:r>
    </w:p>
    <w:p>
      <w:pPr>
        <w:widowControl/>
        <w:ind w:firstLine="700" w:firstLineChars="250"/>
        <w:jc w:val="left"/>
        <w:rPr>
          <w:rFonts w:hAnsi="宋体"/>
          <w:kern w:val="0"/>
          <w:sz w:val="28"/>
          <w:szCs w:val="28"/>
        </w:rPr>
      </w:pPr>
      <w:r>
        <w:rPr>
          <w:rFonts w:hAnsi="宋体"/>
          <w:kern w:val="0"/>
          <w:sz w:val="28"/>
          <w:szCs w:val="28"/>
        </w:rPr>
        <w:t>本次局部修订的主编单位、参编单位、主要起草人和</w:t>
      </w:r>
      <w:r>
        <w:rPr>
          <w:rFonts w:hint="eastAsia" w:hAnsi="宋体"/>
          <w:kern w:val="0"/>
          <w:sz w:val="28"/>
          <w:szCs w:val="28"/>
        </w:rPr>
        <w:t>主要</w:t>
      </w:r>
      <w:r>
        <w:rPr>
          <w:rFonts w:hAnsi="宋体"/>
          <w:kern w:val="0"/>
          <w:sz w:val="28"/>
          <w:szCs w:val="28"/>
        </w:rPr>
        <w:t>审查人：</w:t>
      </w:r>
    </w:p>
    <w:tbl>
      <w:tblPr>
        <w:tblStyle w:val="17"/>
        <w:tblW w:w="4767" w:type="pct"/>
        <w:tblInd w:w="675" w:type="dxa"/>
        <w:tblLayout w:type="fixed"/>
        <w:tblCellMar>
          <w:top w:w="0" w:type="dxa"/>
          <w:left w:w="108" w:type="dxa"/>
          <w:bottom w:w="0" w:type="dxa"/>
          <w:right w:w="108" w:type="dxa"/>
        </w:tblCellMar>
      </w:tblPr>
      <w:tblGrid>
        <w:gridCol w:w="1892"/>
        <w:gridCol w:w="1247"/>
        <w:gridCol w:w="1247"/>
        <w:gridCol w:w="1247"/>
        <w:gridCol w:w="1247"/>
        <w:gridCol w:w="1206"/>
        <w:gridCol w:w="41"/>
      </w:tblGrid>
      <w:tr>
        <w:tblPrEx>
          <w:tblCellMar>
            <w:top w:w="0" w:type="dxa"/>
            <w:left w:w="108" w:type="dxa"/>
            <w:bottom w:w="0" w:type="dxa"/>
            <w:right w:w="108" w:type="dxa"/>
          </w:tblCellMar>
        </w:tblPrEx>
        <w:trPr>
          <w:gridAfter w:val="1"/>
          <w:wAfter w:w="25" w:type="pct"/>
          <w:trHeight w:val="567" w:hRule="exact"/>
        </w:trPr>
        <w:tc>
          <w:tcPr>
            <w:tcW w:w="1164" w:type="pct"/>
            <w:shd w:val="clear" w:color="auto" w:fill="auto"/>
            <w:noWrap/>
            <w:vAlign w:val="bottom"/>
          </w:tcPr>
          <w:p>
            <w:pPr>
              <w:widowControl/>
              <w:rPr>
                <w:b/>
                <w:bCs/>
                <w:kern w:val="0"/>
                <w:sz w:val="28"/>
                <w:szCs w:val="28"/>
              </w:rPr>
            </w:pPr>
            <w:r>
              <w:rPr>
                <w:rFonts w:hAnsi="宋体"/>
                <w:b/>
                <w:bCs/>
                <w:kern w:val="0"/>
                <w:sz w:val="28"/>
                <w:szCs w:val="28"/>
              </w:rPr>
              <w:t>主编单位：</w:t>
            </w:r>
          </w:p>
        </w:tc>
        <w:tc>
          <w:tcPr>
            <w:tcW w:w="3810" w:type="pct"/>
            <w:gridSpan w:val="5"/>
            <w:shd w:val="clear" w:color="auto" w:fill="auto"/>
            <w:noWrap/>
            <w:vAlign w:val="center"/>
          </w:tcPr>
          <w:p>
            <w:pPr>
              <w:widowControl/>
              <w:jc w:val="left"/>
              <w:rPr>
                <w:spacing w:val="8"/>
                <w:sz w:val="28"/>
                <w:szCs w:val="28"/>
                <w:u w:val="single"/>
              </w:rPr>
            </w:pPr>
            <w:r>
              <w:rPr>
                <w:spacing w:val="8"/>
                <w:sz w:val="28"/>
                <w:szCs w:val="28"/>
                <w:u w:val="single"/>
              </w:rPr>
              <w:t>海沃机械（中国）有限公司</w:t>
            </w:r>
          </w:p>
          <w:p>
            <w:pPr>
              <w:widowControl/>
              <w:jc w:val="left"/>
              <w:rPr>
                <w:spacing w:val="8"/>
                <w:sz w:val="28"/>
                <w:szCs w:val="28"/>
                <w:u w:val="single"/>
              </w:rPr>
            </w:pPr>
          </w:p>
          <w:p>
            <w:pPr>
              <w:widowControl/>
              <w:jc w:val="left"/>
              <w:rPr>
                <w:spacing w:val="8"/>
                <w:sz w:val="28"/>
                <w:szCs w:val="28"/>
                <w:u w:val="single"/>
              </w:rPr>
            </w:pPr>
          </w:p>
          <w:p>
            <w:pPr>
              <w:widowControl/>
              <w:jc w:val="left"/>
              <w:rPr>
                <w:spacing w:val="8"/>
                <w:sz w:val="28"/>
                <w:szCs w:val="28"/>
                <w:u w:val="single"/>
              </w:rPr>
            </w:pPr>
          </w:p>
          <w:p>
            <w:pPr>
              <w:widowControl/>
              <w:jc w:val="left"/>
              <w:rPr>
                <w:kern w:val="0"/>
                <w:sz w:val="28"/>
                <w:szCs w:val="28"/>
                <w:u w:val="single"/>
              </w:rPr>
            </w:pPr>
          </w:p>
        </w:tc>
      </w:tr>
      <w:tr>
        <w:tblPrEx>
          <w:tblCellMar>
            <w:top w:w="0" w:type="dxa"/>
            <w:left w:w="108" w:type="dxa"/>
            <w:bottom w:w="0" w:type="dxa"/>
            <w:right w:w="108" w:type="dxa"/>
          </w:tblCellMar>
        </w:tblPrEx>
        <w:trPr>
          <w:gridAfter w:val="1"/>
          <w:wAfter w:w="25" w:type="pct"/>
          <w:trHeight w:val="567" w:hRule="exact"/>
        </w:trPr>
        <w:tc>
          <w:tcPr>
            <w:tcW w:w="1164" w:type="pct"/>
            <w:shd w:val="clear" w:color="auto" w:fill="auto"/>
            <w:noWrap/>
            <w:vAlign w:val="bottom"/>
          </w:tcPr>
          <w:p>
            <w:pPr>
              <w:widowControl/>
              <w:rPr>
                <w:rFonts w:hAnsi="宋体"/>
                <w:b/>
                <w:bCs/>
                <w:kern w:val="0"/>
                <w:sz w:val="28"/>
                <w:szCs w:val="28"/>
              </w:rPr>
            </w:pPr>
          </w:p>
        </w:tc>
        <w:tc>
          <w:tcPr>
            <w:tcW w:w="3810" w:type="pct"/>
            <w:gridSpan w:val="5"/>
            <w:shd w:val="clear" w:color="auto" w:fill="auto"/>
            <w:noWrap/>
            <w:vAlign w:val="center"/>
          </w:tcPr>
          <w:p>
            <w:pPr>
              <w:widowControl/>
              <w:jc w:val="left"/>
              <w:rPr>
                <w:spacing w:val="8"/>
                <w:sz w:val="28"/>
                <w:szCs w:val="28"/>
                <w:u w:val="single"/>
              </w:rPr>
            </w:pPr>
            <w:r>
              <w:rPr>
                <w:rFonts w:hint="eastAsia"/>
                <w:spacing w:val="8"/>
                <w:sz w:val="28"/>
                <w:szCs w:val="28"/>
                <w:u w:val="single"/>
              </w:rPr>
              <w:t>青岛市环境卫生发展中心</w:t>
            </w:r>
          </w:p>
        </w:tc>
      </w:tr>
      <w:tr>
        <w:tblPrEx>
          <w:tblCellMar>
            <w:top w:w="0" w:type="dxa"/>
            <w:left w:w="108" w:type="dxa"/>
            <w:bottom w:w="0" w:type="dxa"/>
            <w:right w:w="108" w:type="dxa"/>
          </w:tblCellMar>
        </w:tblPrEx>
        <w:trPr>
          <w:gridAfter w:val="1"/>
          <w:wAfter w:w="25" w:type="pct"/>
          <w:trHeight w:val="567" w:hRule="exact"/>
        </w:trPr>
        <w:tc>
          <w:tcPr>
            <w:tcW w:w="1164" w:type="pct"/>
            <w:shd w:val="clear" w:color="auto" w:fill="auto"/>
            <w:noWrap/>
            <w:vAlign w:val="bottom"/>
          </w:tcPr>
          <w:p>
            <w:pPr>
              <w:widowControl/>
              <w:rPr>
                <w:b/>
                <w:bCs/>
                <w:kern w:val="0"/>
                <w:sz w:val="28"/>
                <w:szCs w:val="28"/>
              </w:rPr>
            </w:pPr>
            <w:r>
              <w:rPr>
                <w:rFonts w:hAnsi="宋体"/>
                <w:b/>
                <w:bCs/>
                <w:kern w:val="0"/>
                <w:sz w:val="28"/>
                <w:szCs w:val="28"/>
              </w:rPr>
              <w:t>参编单位：</w:t>
            </w:r>
          </w:p>
        </w:tc>
        <w:tc>
          <w:tcPr>
            <w:tcW w:w="3810" w:type="pct"/>
            <w:gridSpan w:val="5"/>
            <w:shd w:val="clear" w:color="auto" w:fill="auto"/>
            <w:noWrap/>
          </w:tcPr>
          <w:p>
            <w:pPr>
              <w:widowControl/>
              <w:rPr>
                <w:rFonts w:hAnsi="宋体"/>
                <w:b/>
                <w:bCs/>
                <w:kern w:val="0"/>
                <w:sz w:val="28"/>
                <w:szCs w:val="28"/>
                <w:u w:val="single"/>
              </w:rPr>
            </w:pPr>
            <w:r>
              <w:rPr>
                <w:rFonts w:hint="eastAsia"/>
                <w:bCs/>
                <w:sz w:val="28"/>
                <w:szCs w:val="28"/>
                <w:u w:val="single"/>
              </w:rPr>
              <w:t>中国城市建设研究院有限公司</w:t>
            </w:r>
          </w:p>
        </w:tc>
      </w:tr>
      <w:tr>
        <w:tblPrEx>
          <w:tblCellMar>
            <w:top w:w="0" w:type="dxa"/>
            <w:left w:w="108" w:type="dxa"/>
            <w:bottom w:w="0" w:type="dxa"/>
            <w:right w:w="108" w:type="dxa"/>
          </w:tblCellMar>
        </w:tblPrEx>
        <w:trPr>
          <w:gridAfter w:val="1"/>
          <w:wAfter w:w="25" w:type="pct"/>
          <w:trHeight w:val="567" w:hRule="exact"/>
        </w:trPr>
        <w:tc>
          <w:tcPr>
            <w:tcW w:w="1164" w:type="pct"/>
            <w:shd w:val="clear" w:color="auto" w:fill="auto"/>
            <w:noWrap/>
            <w:vAlign w:val="bottom"/>
          </w:tcPr>
          <w:p>
            <w:pPr>
              <w:widowControl/>
              <w:rPr>
                <w:rFonts w:hAnsi="宋体"/>
                <w:b/>
                <w:bCs/>
                <w:kern w:val="0"/>
                <w:sz w:val="28"/>
                <w:szCs w:val="28"/>
              </w:rPr>
            </w:pPr>
          </w:p>
        </w:tc>
        <w:tc>
          <w:tcPr>
            <w:tcW w:w="3810" w:type="pct"/>
            <w:gridSpan w:val="5"/>
            <w:shd w:val="clear" w:color="auto" w:fill="auto"/>
            <w:noWrap/>
          </w:tcPr>
          <w:p>
            <w:pPr>
              <w:widowControl/>
              <w:spacing w:line="360" w:lineRule="auto"/>
              <w:rPr>
                <w:rFonts w:hAnsi="宋体"/>
                <w:bCs/>
                <w:kern w:val="0"/>
                <w:sz w:val="28"/>
                <w:szCs w:val="28"/>
                <w:u w:val="single"/>
              </w:rPr>
            </w:pPr>
            <w:r>
              <w:rPr>
                <w:rFonts w:hint="eastAsia" w:hAnsi="宋体"/>
                <w:bCs/>
                <w:kern w:val="0"/>
                <w:sz w:val="28"/>
                <w:szCs w:val="28"/>
                <w:u w:val="single"/>
              </w:rPr>
              <w:t>北京市城市管理研究院</w:t>
            </w:r>
          </w:p>
          <w:p>
            <w:pPr>
              <w:widowControl/>
              <w:rPr>
                <w:bCs/>
                <w:sz w:val="28"/>
                <w:szCs w:val="28"/>
                <w:u w:val="single"/>
              </w:rPr>
            </w:pPr>
          </w:p>
        </w:tc>
      </w:tr>
      <w:tr>
        <w:tblPrEx>
          <w:tblCellMar>
            <w:top w:w="0" w:type="dxa"/>
            <w:left w:w="108" w:type="dxa"/>
            <w:bottom w:w="0" w:type="dxa"/>
            <w:right w:w="108" w:type="dxa"/>
          </w:tblCellMar>
        </w:tblPrEx>
        <w:trPr>
          <w:gridAfter w:val="1"/>
          <w:wAfter w:w="25" w:type="pct"/>
          <w:trHeight w:val="567" w:hRule="exact"/>
        </w:trPr>
        <w:tc>
          <w:tcPr>
            <w:tcW w:w="1164" w:type="pct"/>
            <w:shd w:val="clear" w:color="auto" w:fill="auto"/>
            <w:noWrap/>
            <w:vAlign w:val="bottom"/>
          </w:tcPr>
          <w:p>
            <w:pPr>
              <w:widowControl/>
              <w:rPr>
                <w:rFonts w:hAnsi="宋体"/>
                <w:b/>
                <w:bCs/>
                <w:kern w:val="0"/>
                <w:sz w:val="28"/>
                <w:szCs w:val="28"/>
              </w:rPr>
            </w:pPr>
          </w:p>
        </w:tc>
        <w:tc>
          <w:tcPr>
            <w:tcW w:w="3810" w:type="pct"/>
            <w:gridSpan w:val="5"/>
            <w:shd w:val="clear" w:color="auto" w:fill="auto"/>
            <w:noWrap/>
          </w:tcPr>
          <w:p>
            <w:pPr>
              <w:widowControl/>
              <w:rPr>
                <w:bCs/>
                <w:sz w:val="28"/>
                <w:szCs w:val="28"/>
                <w:u w:val="single"/>
              </w:rPr>
            </w:pPr>
            <w:r>
              <w:rPr>
                <w:rFonts w:hint="eastAsia" w:hAnsi="宋体"/>
                <w:bCs/>
                <w:kern w:val="0"/>
                <w:sz w:val="28"/>
                <w:szCs w:val="28"/>
                <w:u w:val="single"/>
              </w:rPr>
              <w:t>上海市环境工程设计科学研究院有限公司</w:t>
            </w:r>
          </w:p>
        </w:tc>
      </w:tr>
      <w:tr>
        <w:tblPrEx>
          <w:tblCellMar>
            <w:top w:w="0" w:type="dxa"/>
            <w:left w:w="108" w:type="dxa"/>
            <w:bottom w:w="0" w:type="dxa"/>
            <w:right w:w="108" w:type="dxa"/>
          </w:tblCellMar>
        </w:tblPrEx>
        <w:trPr>
          <w:gridAfter w:val="1"/>
          <w:wAfter w:w="25" w:type="pct"/>
          <w:trHeight w:val="567" w:hRule="exact"/>
        </w:trPr>
        <w:tc>
          <w:tcPr>
            <w:tcW w:w="1164" w:type="pct"/>
            <w:shd w:val="clear" w:color="auto" w:fill="auto"/>
            <w:noWrap/>
            <w:vAlign w:val="bottom"/>
          </w:tcPr>
          <w:p>
            <w:pPr>
              <w:widowControl/>
              <w:rPr>
                <w:rFonts w:hAnsi="宋体"/>
                <w:b/>
                <w:bCs/>
                <w:kern w:val="0"/>
                <w:sz w:val="28"/>
                <w:szCs w:val="28"/>
              </w:rPr>
            </w:pPr>
          </w:p>
        </w:tc>
        <w:tc>
          <w:tcPr>
            <w:tcW w:w="3810" w:type="pct"/>
            <w:gridSpan w:val="5"/>
            <w:shd w:val="clear" w:color="auto" w:fill="auto"/>
            <w:noWrap/>
          </w:tcPr>
          <w:p>
            <w:pPr>
              <w:widowControl/>
              <w:rPr>
                <w:bCs/>
                <w:sz w:val="28"/>
                <w:szCs w:val="28"/>
                <w:u w:val="single"/>
              </w:rPr>
            </w:pPr>
            <w:r>
              <w:rPr>
                <w:rFonts w:hint="eastAsia" w:hAnsi="宋体"/>
                <w:bCs/>
                <w:kern w:val="0"/>
                <w:sz w:val="28"/>
                <w:szCs w:val="28"/>
                <w:u w:val="single"/>
              </w:rPr>
              <w:t>中环洁环境有限公司</w:t>
            </w:r>
          </w:p>
        </w:tc>
      </w:tr>
      <w:tr>
        <w:tblPrEx>
          <w:tblCellMar>
            <w:top w:w="0" w:type="dxa"/>
            <w:left w:w="108" w:type="dxa"/>
            <w:bottom w:w="0" w:type="dxa"/>
            <w:right w:w="108" w:type="dxa"/>
          </w:tblCellMar>
        </w:tblPrEx>
        <w:trPr>
          <w:gridAfter w:val="1"/>
          <w:wAfter w:w="25" w:type="pct"/>
          <w:trHeight w:val="567" w:hRule="exact"/>
        </w:trPr>
        <w:tc>
          <w:tcPr>
            <w:tcW w:w="1164" w:type="pct"/>
            <w:shd w:val="clear" w:color="auto" w:fill="auto"/>
            <w:noWrap/>
            <w:vAlign w:val="bottom"/>
          </w:tcPr>
          <w:p>
            <w:pPr>
              <w:widowControl/>
              <w:rPr>
                <w:b/>
                <w:kern w:val="0"/>
                <w:sz w:val="28"/>
                <w:szCs w:val="28"/>
              </w:rPr>
            </w:pPr>
            <w:r>
              <w:rPr>
                <w:b/>
                <w:kern w:val="0"/>
                <w:sz w:val="28"/>
                <w:szCs w:val="28"/>
              </w:rPr>
              <w:t>主要起草人：</w:t>
            </w:r>
          </w:p>
        </w:tc>
        <w:tc>
          <w:tcPr>
            <w:tcW w:w="3810" w:type="pct"/>
            <w:gridSpan w:val="5"/>
            <w:shd w:val="clear" w:color="auto" w:fill="auto"/>
            <w:noWrap/>
          </w:tcPr>
          <w:p>
            <w:pPr>
              <w:widowControl/>
              <w:rPr>
                <w:rFonts w:hAnsi="宋体"/>
                <w:b/>
                <w:bCs/>
                <w:kern w:val="0"/>
                <w:sz w:val="28"/>
                <w:szCs w:val="28"/>
              </w:rPr>
            </w:pPr>
          </w:p>
        </w:tc>
      </w:tr>
      <w:tr>
        <w:tblPrEx>
          <w:tblCellMar>
            <w:top w:w="0" w:type="dxa"/>
            <w:left w:w="108" w:type="dxa"/>
            <w:bottom w:w="0" w:type="dxa"/>
            <w:right w:w="108" w:type="dxa"/>
          </w:tblCellMar>
        </w:tblPrEx>
        <w:trPr>
          <w:trHeight w:val="539" w:hRule="exact"/>
        </w:trPr>
        <w:tc>
          <w:tcPr>
            <w:tcW w:w="1164" w:type="pct"/>
            <w:shd w:val="clear" w:color="auto" w:fill="auto"/>
            <w:noWrap/>
            <w:vAlign w:val="center"/>
          </w:tcPr>
          <w:p>
            <w:pPr>
              <w:widowControl/>
              <w:spacing w:line="520" w:lineRule="exact"/>
              <w:rPr>
                <w:b/>
                <w:bCs/>
                <w:kern w:val="0"/>
                <w:sz w:val="28"/>
                <w:szCs w:val="28"/>
              </w:rPr>
            </w:pPr>
            <w:r>
              <w:rPr>
                <w:rFonts w:hAnsi="宋体"/>
                <w:b/>
                <w:bCs/>
                <w:kern w:val="0"/>
                <w:sz w:val="28"/>
                <w:szCs w:val="28"/>
              </w:rPr>
              <w:t>主要审查人：</w:t>
            </w:r>
          </w:p>
        </w:tc>
        <w:tc>
          <w:tcPr>
            <w:tcW w:w="767" w:type="pct"/>
            <w:shd w:val="clear" w:color="auto" w:fill="auto"/>
            <w:noWrap/>
            <w:vAlign w:val="center"/>
          </w:tcPr>
          <w:p>
            <w:pPr>
              <w:widowControl/>
              <w:spacing w:line="520" w:lineRule="exact"/>
              <w:rPr>
                <w:kern w:val="0"/>
                <w:sz w:val="28"/>
                <w:szCs w:val="28"/>
              </w:rPr>
            </w:pPr>
          </w:p>
        </w:tc>
        <w:tc>
          <w:tcPr>
            <w:tcW w:w="767" w:type="pct"/>
            <w:shd w:val="clear" w:color="auto" w:fill="auto"/>
            <w:vAlign w:val="center"/>
          </w:tcPr>
          <w:p>
            <w:pPr>
              <w:spacing w:line="520" w:lineRule="exact"/>
              <w:rPr>
                <w:kern w:val="0"/>
                <w:sz w:val="28"/>
                <w:szCs w:val="28"/>
              </w:rPr>
            </w:pPr>
          </w:p>
        </w:tc>
        <w:tc>
          <w:tcPr>
            <w:tcW w:w="767" w:type="pct"/>
            <w:shd w:val="clear" w:color="auto" w:fill="auto"/>
            <w:vAlign w:val="center"/>
          </w:tcPr>
          <w:p>
            <w:pPr>
              <w:widowControl/>
              <w:rPr>
                <w:rFonts w:hAnsi="宋体"/>
                <w:b/>
                <w:bCs/>
                <w:kern w:val="0"/>
                <w:sz w:val="28"/>
                <w:szCs w:val="28"/>
              </w:rPr>
            </w:pPr>
          </w:p>
        </w:tc>
        <w:tc>
          <w:tcPr>
            <w:tcW w:w="767" w:type="pct"/>
            <w:shd w:val="clear" w:color="auto" w:fill="auto"/>
            <w:vAlign w:val="center"/>
          </w:tcPr>
          <w:p>
            <w:pPr>
              <w:widowControl/>
              <w:rPr>
                <w:rFonts w:hAnsi="宋体"/>
                <w:b/>
                <w:bCs/>
                <w:kern w:val="0"/>
                <w:sz w:val="28"/>
                <w:szCs w:val="28"/>
              </w:rPr>
            </w:pPr>
          </w:p>
        </w:tc>
        <w:tc>
          <w:tcPr>
            <w:tcW w:w="767" w:type="pct"/>
            <w:gridSpan w:val="2"/>
            <w:shd w:val="clear" w:color="auto" w:fill="auto"/>
            <w:vAlign w:val="center"/>
          </w:tcPr>
          <w:p>
            <w:pPr>
              <w:widowControl/>
              <w:rPr>
                <w:rFonts w:hAnsi="宋体"/>
                <w:b/>
                <w:bCs/>
                <w:kern w:val="0"/>
                <w:sz w:val="28"/>
                <w:szCs w:val="28"/>
              </w:rPr>
            </w:pPr>
          </w:p>
        </w:tc>
      </w:tr>
    </w:tbl>
    <w:p>
      <w:pPr>
        <w:sectPr>
          <w:footerReference r:id="rId3" w:type="default"/>
          <w:pgSz w:w="11906" w:h="16838"/>
          <w:pgMar w:top="1440" w:right="1800" w:bottom="1440" w:left="1800" w:header="851" w:footer="992" w:gutter="0"/>
          <w:pgNumType w:start="1"/>
          <w:cols w:space="425" w:num="1"/>
          <w:docGrid w:type="lines" w:linePitch="312" w:charSpace="0"/>
        </w:sectPr>
      </w:pPr>
    </w:p>
    <w:bookmarkEnd w:id="0"/>
    <w:p>
      <w:pPr>
        <w:spacing w:before="156" w:beforeLines="50" w:after="156" w:afterLines="50" w:line="360" w:lineRule="auto"/>
        <w:jc w:val="center"/>
        <w:rPr>
          <w:rFonts w:ascii="宋体" w:hAnsi="宋体"/>
          <w:b/>
          <w:sz w:val="32"/>
          <w:szCs w:val="32"/>
          <w:u w:val="single"/>
        </w:rPr>
      </w:pPr>
      <w:r>
        <w:rPr>
          <w:rFonts w:hint="eastAsia" w:ascii="宋体" w:hAnsi="宋体"/>
          <w:b/>
          <w:sz w:val="32"/>
          <w:szCs w:val="32"/>
          <w:u w:val="single"/>
        </w:rPr>
        <w:t>《生活垃圾收集站技术标准》</w:t>
      </w:r>
    </w:p>
    <w:p>
      <w:pPr>
        <w:spacing w:before="156" w:beforeLines="50" w:after="156" w:afterLines="50" w:line="360" w:lineRule="auto"/>
        <w:jc w:val="center"/>
        <w:rPr>
          <w:rFonts w:ascii="宋体" w:hAnsi="宋体"/>
          <w:b/>
          <w:sz w:val="32"/>
          <w:szCs w:val="32"/>
          <w:u w:val="single"/>
        </w:rPr>
      </w:pPr>
      <w:r>
        <w:rPr>
          <w:rFonts w:hint="eastAsia" w:ascii="宋体" w:hAnsi="宋体"/>
          <w:b/>
          <w:sz w:val="32"/>
          <w:szCs w:val="32"/>
          <w:u w:val="single"/>
        </w:rPr>
        <w:t>CJJ179-20xx</w:t>
      </w:r>
    </w:p>
    <w:p>
      <w:pPr>
        <w:spacing w:before="156" w:beforeLines="50" w:after="156" w:afterLines="50" w:line="360" w:lineRule="auto"/>
        <w:jc w:val="center"/>
        <w:rPr>
          <w:rFonts w:ascii="宋体" w:hAnsi="宋体"/>
          <w:b/>
          <w:sz w:val="32"/>
          <w:szCs w:val="32"/>
        </w:rPr>
      </w:pPr>
      <w:r>
        <w:rPr>
          <w:rFonts w:hint="eastAsia" w:ascii="宋体" w:hAnsi="宋体"/>
          <w:b/>
          <w:sz w:val="32"/>
          <w:szCs w:val="32"/>
        </w:rPr>
        <w:t>修订对照表</w:t>
      </w:r>
    </w:p>
    <w:p>
      <w:pPr>
        <w:spacing w:line="360" w:lineRule="auto"/>
        <w:jc w:val="center"/>
        <w:rPr>
          <w:rFonts w:ascii="楷体" w:hAnsi="楷体" w:eastAsia="楷体"/>
          <w:b/>
          <w:sz w:val="28"/>
        </w:rPr>
      </w:pPr>
      <w:r>
        <w:rPr>
          <w:rFonts w:hint="eastAsia" w:ascii="楷体" w:hAnsi="楷体" w:eastAsia="楷体"/>
          <w:b/>
          <w:sz w:val="28"/>
        </w:rPr>
        <w:t>（方框部分为删除内容，下划线部分为增加内容）</w:t>
      </w:r>
    </w:p>
    <w:tbl>
      <w:tblPr>
        <w:tblStyle w:val="18"/>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4138"/>
        <w:gridCol w:w="413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tblHeader/>
          <w:jc w:val="center"/>
        </w:trPr>
        <w:tc>
          <w:tcPr>
            <w:tcW w:w="4138" w:type="dxa"/>
            <w:vAlign w:val="center"/>
          </w:tcPr>
          <w:p>
            <w:pPr>
              <w:spacing w:line="360" w:lineRule="auto"/>
              <w:jc w:val="center"/>
              <w:rPr>
                <w:rFonts w:ascii="黑体" w:hAnsi="黑体" w:eastAsia="黑体"/>
                <w:sz w:val="24"/>
              </w:rPr>
            </w:pPr>
            <w:r>
              <w:rPr>
                <w:rFonts w:hint="eastAsia" w:ascii="黑体" w:hAnsi="黑体" w:eastAsia="黑体"/>
                <w:sz w:val="24"/>
              </w:rPr>
              <w:t>现行《规程》条文</w:t>
            </w:r>
          </w:p>
        </w:tc>
        <w:tc>
          <w:tcPr>
            <w:tcW w:w="4138" w:type="dxa"/>
            <w:vAlign w:val="center"/>
          </w:tcPr>
          <w:p>
            <w:pPr>
              <w:spacing w:line="360" w:lineRule="auto"/>
              <w:jc w:val="center"/>
              <w:rPr>
                <w:rFonts w:ascii="黑体" w:hAnsi="黑体" w:eastAsia="黑体"/>
                <w:sz w:val="24"/>
              </w:rPr>
            </w:pPr>
            <w:r>
              <w:rPr>
                <w:rFonts w:hint="eastAsia" w:ascii="黑体" w:hAnsi="黑体" w:eastAsia="黑体"/>
                <w:sz w:val="24"/>
              </w:rPr>
              <w:t>修订征求意见稿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138" w:type="dxa"/>
          </w:tcPr>
          <w:p>
            <w:pPr>
              <w:adjustRightInd w:val="0"/>
              <w:snapToGrid w:val="0"/>
              <w:spacing w:line="360" w:lineRule="auto"/>
              <w:rPr>
                <w:rFonts w:asciiTheme="minorEastAsia" w:hAnsiTheme="minorEastAsia" w:eastAsiaTheme="minorEastAsia"/>
                <w:sz w:val="24"/>
              </w:rPr>
            </w:pPr>
            <w:r>
              <w:rPr>
                <w:rFonts w:hint="eastAsia" w:asciiTheme="minorEastAsia" w:hAnsiTheme="minorEastAsia" w:eastAsiaTheme="minorEastAsia"/>
                <w:bCs/>
                <w:sz w:val="24"/>
              </w:rPr>
              <w:t>1.0.2</w:t>
            </w:r>
            <w:r>
              <w:rPr>
                <w:rFonts w:hint="eastAsia" w:asciiTheme="minorEastAsia" w:hAnsiTheme="minorEastAsia" w:eastAsiaTheme="minorEastAsia"/>
                <w:sz w:val="24"/>
              </w:rPr>
              <w:t xml:space="preserve">  本</w:t>
            </w:r>
            <w:r>
              <w:rPr>
                <w:rFonts w:hint="eastAsia" w:asciiTheme="minorEastAsia" w:hAnsiTheme="minorEastAsia" w:eastAsiaTheme="minorEastAsia"/>
                <w:sz w:val="24"/>
                <w:bdr w:val="single" w:color="auto" w:sz="4" w:space="0"/>
              </w:rPr>
              <w:t>规程</w:t>
            </w:r>
            <w:r>
              <w:rPr>
                <w:rFonts w:hint="eastAsia" w:asciiTheme="minorEastAsia" w:hAnsiTheme="minorEastAsia" w:eastAsiaTheme="minorEastAsia"/>
                <w:sz w:val="24"/>
              </w:rPr>
              <w:t>适用于新建、扩建和改建收集站</w:t>
            </w:r>
            <w:r>
              <w:rPr>
                <w:rFonts w:hint="eastAsia" w:asciiTheme="minorEastAsia" w:hAnsiTheme="minorEastAsia" w:eastAsiaTheme="minorEastAsia"/>
                <w:sz w:val="24"/>
                <w:bdr w:val="single" w:color="auto" w:sz="4" w:space="0"/>
              </w:rPr>
              <w:t>（点）</w:t>
            </w:r>
            <w:r>
              <w:rPr>
                <w:rFonts w:hint="eastAsia" w:asciiTheme="minorEastAsia" w:hAnsiTheme="minorEastAsia" w:eastAsiaTheme="minorEastAsia"/>
                <w:sz w:val="24"/>
              </w:rPr>
              <w:t>的规划、设计、建设</w:t>
            </w:r>
            <w:r>
              <w:rPr>
                <w:rFonts w:asciiTheme="minorEastAsia" w:hAnsiTheme="minorEastAsia" w:eastAsiaTheme="minorEastAsia"/>
                <w:sz w:val="24"/>
              </w:rPr>
              <w:t>、</w:t>
            </w:r>
            <w:r>
              <w:rPr>
                <w:rFonts w:hint="eastAsia" w:asciiTheme="minorEastAsia" w:hAnsiTheme="minorEastAsia" w:eastAsiaTheme="minorEastAsia"/>
                <w:sz w:val="24"/>
              </w:rPr>
              <w:t>验收、运行及维护。</w:t>
            </w:r>
          </w:p>
        </w:tc>
        <w:tc>
          <w:tcPr>
            <w:tcW w:w="4138" w:type="dxa"/>
          </w:tcPr>
          <w:p>
            <w:pPr>
              <w:spacing w:line="360" w:lineRule="auto"/>
              <w:rPr>
                <w:rFonts w:asciiTheme="minorEastAsia" w:hAnsiTheme="minorEastAsia" w:eastAsiaTheme="minorEastAsia"/>
                <w:sz w:val="24"/>
              </w:rPr>
            </w:pPr>
            <w:r>
              <w:rPr>
                <w:rFonts w:hint="eastAsia" w:asciiTheme="minorEastAsia" w:hAnsiTheme="minorEastAsia" w:eastAsiaTheme="minorEastAsia"/>
                <w:bCs/>
                <w:sz w:val="24"/>
              </w:rPr>
              <w:t>1.0.2</w:t>
            </w:r>
            <w:r>
              <w:rPr>
                <w:rFonts w:hint="eastAsia" w:asciiTheme="minorEastAsia" w:hAnsiTheme="minorEastAsia" w:eastAsiaTheme="minorEastAsia"/>
                <w:sz w:val="24"/>
              </w:rPr>
              <w:t xml:space="preserve">  本</w:t>
            </w:r>
            <w:r>
              <w:rPr>
                <w:rFonts w:hint="eastAsia" w:asciiTheme="minorEastAsia" w:hAnsiTheme="minorEastAsia" w:eastAsiaTheme="minorEastAsia"/>
                <w:sz w:val="24"/>
                <w:u w:val="single"/>
              </w:rPr>
              <w:t>标准</w:t>
            </w:r>
            <w:r>
              <w:rPr>
                <w:rFonts w:hint="eastAsia" w:asciiTheme="minorEastAsia" w:hAnsiTheme="minorEastAsia" w:eastAsiaTheme="minorEastAsia"/>
                <w:sz w:val="24"/>
              </w:rPr>
              <w:t>适用于新建、扩建和改建收集站的规划、设计、建设</w:t>
            </w:r>
            <w:r>
              <w:rPr>
                <w:rFonts w:asciiTheme="minorEastAsia" w:hAnsiTheme="minorEastAsia" w:eastAsiaTheme="minorEastAsia"/>
                <w:sz w:val="24"/>
              </w:rPr>
              <w:t>、</w:t>
            </w:r>
            <w:r>
              <w:rPr>
                <w:rFonts w:hint="eastAsia" w:asciiTheme="minorEastAsia" w:hAnsiTheme="minorEastAsia" w:eastAsiaTheme="minorEastAsia"/>
                <w:sz w:val="24"/>
              </w:rPr>
              <w:t>验收、运行及维护。</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138" w:type="dxa"/>
          </w:tcPr>
          <w:p>
            <w:pPr>
              <w:adjustRightInd w:val="0"/>
              <w:snapToGrid w:val="0"/>
              <w:spacing w:line="360" w:lineRule="auto"/>
              <w:rPr>
                <w:rFonts w:asciiTheme="minorEastAsia" w:hAnsiTheme="minorEastAsia" w:eastAsiaTheme="minorEastAsia"/>
                <w:bCs/>
                <w:sz w:val="24"/>
              </w:rPr>
            </w:pPr>
            <w:r>
              <w:rPr>
                <w:rFonts w:hint="eastAsia" w:asciiTheme="minorEastAsia" w:hAnsiTheme="minorEastAsia" w:eastAsiaTheme="minorEastAsia"/>
                <w:b/>
                <w:sz w:val="24"/>
              </w:rPr>
              <w:t>2.0.1</w:t>
            </w:r>
            <w:r>
              <w:rPr>
                <w:rFonts w:hint="eastAsia" w:asciiTheme="minorEastAsia" w:hAnsiTheme="minorEastAsia" w:eastAsiaTheme="minorEastAsia"/>
                <w:bCs/>
                <w:sz w:val="24"/>
              </w:rPr>
              <w:t xml:space="preserve">  </w:t>
            </w:r>
            <w:r>
              <w:rPr>
                <w:rFonts w:asciiTheme="minorEastAsia" w:hAnsiTheme="minorEastAsia" w:eastAsiaTheme="minorEastAsia"/>
                <w:bCs/>
                <w:sz w:val="24"/>
              </w:rPr>
              <w:t>新建、</w:t>
            </w:r>
            <w:r>
              <w:rPr>
                <w:rFonts w:hint="eastAsia" w:asciiTheme="minorEastAsia" w:hAnsiTheme="minorEastAsia" w:eastAsiaTheme="minorEastAsia"/>
                <w:bCs/>
                <w:sz w:val="24"/>
              </w:rPr>
              <w:t>扩建</w:t>
            </w:r>
            <w:r>
              <w:rPr>
                <w:rFonts w:asciiTheme="minorEastAsia" w:hAnsiTheme="minorEastAsia" w:eastAsiaTheme="minorEastAsia"/>
                <w:bCs/>
                <w:sz w:val="24"/>
              </w:rPr>
              <w:t>或旧城</w:t>
            </w:r>
            <w:r>
              <w:rPr>
                <w:rFonts w:hint="eastAsia" w:asciiTheme="minorEastAsia" w:hAnsiTheme="minorEastAsia" w:eastAsiaTheme="minorEastAsia"/>
                <w:bCs/>
                <w:sz w:val="24"/>
              </w:rPr>
              <w:t>区域</w:t>
            </w:r>
            <w:r>
              <w:rPr>
                <w:rFonts w:asciiTheme="minorEastAsia" w:hAnsiTheme="minorEastAsia" w:eastAsiaTheme="minorEastAsia"/>
                <w:bCs/>
                <w:sz w:val="24"/>
              </w:rPr>
              <w:t>的改建收集站</w:t>
            </w:r>
            <w:r>
              <w:rPr>
                <w:rFonts w:hint="eastAsia" w:asciiTheme="minorEastAsia" w:hAnsiTheme="minorEastAsia" w:eastAsiaTheme="minorEastAsia"/>
                <w:bCs/>
                <w:sz w:val="24"/>
              </w:rPr>
              <w:t>应</w:t>
            </w:r>
            <w:r>
              <w:rPr>
                <w:rFonts w:asciiTheme="minorEastAsia" w:hAnsiTheme="minorEastAsia" w:eastAsiaTheme="minorEastAsia"/>
                <w:bCs/>
                <w:sz w:val="24"/>
              </w:rPr>
              <w:t>与</w:t>
            </w:r>
            <w:r>
              <w:rPr>
                <w:rFonts w:hint="eastAsia" w:asciiTheme="minorEastAsia" w:hAnsiTheme="minorEastAsia" w:eastAsiaTheme="minorEastAsia"/>
                <w:bCs/>
                <w:sz w:val="24"/>
              </w:rPr>
              <w:t>其他建筑统一</w:t>
            </w:r>
            <w:r>
              <w:rPr>
                <w:rFonts w:asciiTheme="minorEastAsia" w:hAnsiTheme="minorEastAsia" w:eastAsiaTheme="minorEastAsia"/>
                <w:bCs/>
                <w:sz w:val="24"/>
              </w:rPr>
              <w:t>规划、</w:t>
            </w:r>
            <w:r>
              <w:rPr>
                <w:rFonts w:hint="eastAsia" w:asciiTheme="minorEastAsia" w:hAnsiTheme="minorEastAsia" w:eastAsiaTheme="minorEastAsia"/>
                <w:bCs/>
                <w:sz w:val="24"/>
              </w:rPr>
              <w:t>同步</w:t>
            </w:r>
            <w:r>
              <w:rPr>
                <w:rFonts w:asciiTheme="minorEastAsia" w:hAnsiTheme="minorEastAsia" w:eastAsiaTheme="minorEastAsia"/>
                <w:bCs/>
                <w:sz w:val="24"/>
              </w:rPr>
              <w:t>建设和同时投入使用</w:t>
            </w:r>
            <w:r>
              <w:rPr>
                <w:rFonts w:hint="eastAsia" w:asciiTheme="minorEastAsia" w:hAnsiTheme="minorEastAsia" w:eastAsiaTheme="minorEastAsia"/>
                <w:bCs/>
                <w:sz w:val="24"/>
                <w:bdr w:val="single" w:color="auto" w:sz="4" w:space="0"/>
              </w:rPr>
              <w:t>，生活垃圾收集点（以下简称“收集点”）也应一并规划设置</w:t>
            </w:r>
            <w:r>
              <w:rPr>
                <w:rFonts w:hint="eastAsia" w:asciiTheme="minorEastAsia" w:hAnsiTheme="minorEastAsia" w:eastAsiaTheme="minorEastAsia"/>
                <w:bCs/>
                <w:sz w:val="24"/>
              </w:rPr>
              <w:t>。</w:t>
            </w:r>
          </w:p>
        </w:tc>
        <w:tc>
          <w:tcPr>
            <w:tcW w:w="4138" w:type="dxa"/>
          </w:tcPr>
          <w:p>
            <w:pPr>
              <w:spacing w:line="360" w:lineRule="auto"/>
              <w:rPr>
                <w:rFonts w:asciiTheme="minorEastAsia" w:hAnsiTheme="minorEastAsia" w:eastAsiaTheme="minorEastAsia"/>
                <w:sz w:val="24"/>
              </w:rPr>
            </w:pPr>
            <w:r>
              <w:rPr>
                <w:rFonts w:hint="eastAsia" w:asciiTheme="minorEastAsia" w:hAnsiTheme="minorEastAsia" w:eastAsiaTheme="minorEastAsia"/>
                <w:b/>
                <w:sz w:val="24"/>
              </w:rPr>
              <w:t>2.0.1</w:t>
            </w:r>
            <w:r>
              <w:rPr>
                <w:rFonts w:hint="eastAsia" w:asciiTheme="minorEastAsia" w:hAnsiTheme="minorEastAsia" w:eastAsiaTheme="minorEastAsia"/>
                <w:bCs/>
                <w:sz w:val="24"/>
              </w:rPr>
              <w:t xml:space="preserve">  </w:t>
            </w:r>
            <w:r>
              <w:rPr>
                <w:rFonts w:asciiTheme="minorEastAsia" w:hAnsiTheme="minorEastAsia" w:eastAsiaTheme="minorEastAsia"/>
                <w:bCs/>
                <w:sz w:val="24"/>
              </w:rPr>
              <w:t>新建、</w:t>
            </w:r>
            <w:r>
              <w:rPr>
                <w:rFonts w:hint="eastAsia" w:asciiTheme="minorEastAsia" w:hAnsiTheme="minorEastAsia" w:eastAsiaTheme="minorEastAsia"/>
                <w:bCs/>
                <w:sz w:val="24"/>
              </w:rPr>
              <w:t>扩建</w:t>
            </w:r>
            <w:r>
              <w:rPr>
                <w:rFonts w:asciiTheme="minorEastAsia" w:hAnsiTheme="minorEastAsia" w:eastAsiaTheme="minorEastAsia"/>
                <w:bCs/>
                <w:sz w:val="24"/>
              </w:rPr>
              <w:t>或旧城</w:t>
            </w:r>
            <w:r>
              <w:rPr>
                <w:rFonts w:hint="eastAsia" w:asciiTheme="minorEastAsia" w:hAnsiTheme="minorEastAsia" w:eastAsiaTheme="minorEastAsia"/>
                <w:bCs/>
                <w:sz w:val="24"/>
              </w:rPr>
              <w:t>区域</w:t>
            </w:r>
            <w:r>
              <w:rPr>
                <w:rFonts w:asciiTheme="minorEastAsia" w:hAnsiTheme="minorEastAsia" w:eastAsiaTheme="minorEastAsia"/>
                <w:bCs/>
                <w:sz w:val="24"/>
              </w:rPr>
              <w:t>的改建收集站</w:t>
            </w:r>
            <w:r>
              <w:rPr>
                <w:rFonts w:hint="eastAsia" w:asciiTheme="minorEastAsia" w:hAnsiTheme="minorEastAsia" w:eastAsiaTheme="minorEastAsia"/>
                <w:bCs/>
                <w:sz w:val="24"/>
              </w:rPr>
              <w:t>应</w:t>
            </w:r>
            <w:r>
              <w:rPr>
                <w:rFonts w:asciiTheme="minorEastAsia" w:hAnsiTheme="minorEastAsia" w:eastAsiaTheme="minorEastAsia"/>
                <w:bCs/>
                <w:sz w:val="24"/>
              </w:rPr>
              <w:t>与</w:t>
            </w:r>
            <w:r>
              <w:rPr>
                <w:rFonts w:hint="eastAsia" w:asciiTheme="minorEastAsia" w:hAnsiTheme="minorEastAsia" w:eastAsiaTheme="minorEastAsia"/>
                <w:bCs/>
                <w:sz w:val="24"/>
              </w:rPr>
              <w:t>其他建筑统一</w:t>
            </w:r>
            <w:r>
              <w:rPr>
                <w:rFonts w:asciiTheme="minorEastAsia" w:hAnsiTheme="minorEastAsia" w:eastAsiaTheme="minorEastAsia"/>
                <w:bCs/>
                <w:sz w:val="24"/>
              </w:rPr>
              <w:t>规划、</w:t>
            </w:r>
            <w:r>
              <w:rPr>
                <w:rFonts w:hint="eastAsia" w:asciiTheme="minorEastAsia" w:hAnsiTheme="minorEastAsia" w:eastAsiaTheme="minorEastAsia"/>
                <w:bCs/>
                <w:sz w:val="24"/>
              </w:rPr>
              <w:t>同步</w:t>
            </w:r>
            <w:r>
              <w:rPr>
                <w:rFonts w:asciiTheme="minorEastAsia" w:hAnsiTheme="minorEastAsia" w:eastAsiaTheme="minorEastAsia"/>
                <w:bCs/>
                <w:sz w:val="24"/>
              </w:rPr>
              <w:t>建设和同时投入使用</w:t>
            </w:r>
            <w:r>
              <w:rPr>
                <w:rFonts w:hint="eastAsia" w:asciiTheme="minorEastAsia" w:hAnsiTheme="minorEastAsia" w:eastAsiaTheme="minorEastAsia"/>
                <w:bCs/>
                <w:sz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138" w:type="dxa"/>
          </w:tcPr>
          <w:p>
            <w:pPr>
              <w:pStyle w:val="39"/>
              <w:widowControl w:val="0"/>
              <w:adjustRightInd w:val="0"/>
              <w:snapToGrid w:val="0"/>
              <w:spacing w:line="360" w:lineRule="auto"/>
              <w:jc w:val="both"/>
              <w:rPr>
                <w:rFonts w:asciiTheme="minorEastAsia" w:hAnsiTheme="minorEastAsia" w:eastAsiaTheme="minorEastAsia"/>
                <w:sz w:val="24"/>
                <w:szCs w:val="24"/>
                <w:bdr w:val="single" w:color="auto" w:sz="4" w:space="0"/>
              </w:rPr>
            </w:pPr>
            <w:r>
              <w:rPr>
                <w:rFonts w:hint="eastAsia" w:asciiTheme="minorEastAsia" w:hAnsiTheme="minorEastAsia" w:eastAsiaTheme="minorEastAsia"/>
                <w:b/>
                <w:sz w:val="24"/>
                <w:szCs w:val="24"/>
              </w:rPr>
              <w:t xml:space="preserve">3.2.4  </w:t>
            </w:r>
            <w:r>
              <w:rPr>
                <w:rFonts w:hint="eastAsia" w:asciiTheme="minorEastAsia" w:hAnsiTheme="minorEastAsia" w:eastAsiaTheme="minorEastAsia"/>
                <w:sz w:val="24"/>
                <w:szCs w:val="24"/>
                <w:bdr w:val="single" w:color="auto" w:sz="4" w:space="0"/>
              </w:rPr>
              <w:t>收集点的设置应符合以下条件：</w:t>
            </w:r>
          </w:p>
          <w:p>
            <w:pPr>
              <w:pStyle w:val="39"/>
              <w:widowControl w:val="0"/>
              <w:adjustRightInd w:val="0"/>
              <w:snapToGrid w:val="0"/>
              <w:spacing w:line="360" w:lineRule="auto"/>
              <w:ind w:firstLine="480" w:firstLineChars="200"/>
              <w:jc w:val="both"/>
              <w:rPr>
                <w:rFonts w:asciiTheme="minorEastAsia" w:hAnsiTheme="minorEastAsia" w:eastAsiaTheme="minorEastAsia"/>
                <w:sz w:val="24"/>
                <w:szCs w:val="24"/>
                <w:bdr w:val="single" w:color="auto" w:sz="4" w:space="0"/>
              </w:rPr>
            </w:pPr>
            <w:r>
              <w:rPr>
                <w:rFonts w:hint="eastAsia" w:asciiTheme="minorEastAsia" w:hAnsiTheme="minorEastAsia" w:eastAsiaTheme="minorEastAsia"/>
                <w:sz w:val="24"/>
                <w:szCs w:val="24"/>
                <w:bdr w:val="single" w:color="auto" w:sz="4" w:space="0"/>
              </w:rPr>
              <w:t xml:space="preserve">1  </w:t>
            </w:r>
            <w:r>
              <w:rPr>
                <w:rFonts w:asciiTheme="minorEastAsia" w:hAnsiTheme="minorEastAsia" w:eastAsiaTheme="minorEastAsia"/>
                <w:sz w:val="24"/>
                <w:szCs w:val="24"/>
                <w:bdr w:val="single" w:color="auto" w:sz="4" w:space="0"/>
              </w:rPr>
              <w:t>收集点位置应固定，既要方便居民</w:t>
            </w:r>
            <w:r>
              <w:rPr>
                <w:rFonts w:hint="eastAsia" w:asciiTheme="minorEastAsia" w:hAnsiTheme="minorEastAsia" w:eastAsiaTheme="minorEastAsia"/>
                <w:sz w:val="24"/>
                <w:szCs w:val="24"/>
                <w:bdr w:val="single" w:color="auto" w:sz="4" w:space="0"/>
              </w:rPr>
              <w:t>投放垃圾，</w:t>
            </w:r>
            <w:r>
              <w:rPr>
                <w:rFonts w:asciiTheme="minorEastAsia" w:hAnsiTheme="minorEastAsia" w:eastAsiaTheme="minorEastAsia"/>
                <w:sz w:val="24"/>
                <w:szCs w:val="24"/>
                <w:bdr w:val="single" w:color="auto" w:sz="4" w:space="0"/>
              </w:rPr>
              <w:t>又要便于</w:t>
            </w:r>
            <w:r>
              <w:rPr>
                <w:rFonts w:hint="eastAsia" w:asciiTheme="minorEastAsia" w:hAnsiTheme="minorEastAsia" w:eastAsiaTheme="minorEastAsia"/>
                <w:sz w:val="24"/>
                <w:szCs w:val="24"/>
                <w:bdr w:val="single" w:color="auto" w:sz="4" w:space="0"/>
              </w:rPr>
              <w:t>垃圾</w:t>
            </w:r>
            <w:r>
              <w:rPr>
                <w:rFonts w:asciiTheme="minorEastAsia" w:hAnsiTheme="minorEastAsia" w:eastAsiaTheme="minorEastAsia"/>
                <w:sz w:val="24"/>
                <w:szCs w:val="24"/>
                <w:bdr w:val="single" w:color="auto" w:sz="4" w:space="0"/>
              </w:rPr>
              <w:t>清运</w:t>
            </w:r>
            <w:r>
              <w:rPr>
                <w:rFonts w:hint="eastAsia" w:asciiTheme="minorEastAsia" w:hAnsiTheme="minorEastAsia" w:eastAsiaTheme="minorEastAsia"/>
                <w:sz w:val="24"/>
                <w:szCs w:val="24"/>
                <w:bdr w:val="single" w:color="auto" w:sz="4" w:space="0"/>
              </w:rPr>
              <w:t>。可设置人行道内侧或外侧港湾式收集点</w:t>
            </w:r>
            <w:r>
              <w:rPr>
                <w:rFonts w:asciiTheme="minorEastAsia" w:hAnsiTheme="minorEastAsia" w:eastAsiaTheme="minorEastAsia"/>
                <w:sz w:val="24"/>
                <w:szCs w:val="24"/>
                <w:bdr w:val="single" w:color="auto" w:sz="4" w:space="0"/>
              </w:rPr>
              <w:t>。</w:t>
            </w:r>
          </w:p>
          <w:p>
            <w:pPr>
              <w:pStyle w:val="39"/>
              <w:widowControl w:val="0"/>
              <w:adjustRightInd w:val="0"/>
              <w:snapToGrid w:val="0"/>
              <w:spacing w:line="360" w:lineRule="auto"/>
              <w:ind w:firstLine="480" w:firstLineChars="200"/>
              <w:jc w:val="both"/>
              <w:rPr>
                <w:rFonts w:asciiTheme="minorEastAsia" w:hAnsiTheme="minorEastAsia" w:eastAsiaTheme="minorEastAsia"/>
                <w:sz w:val="24"/>
                <w:szCs w:val="24"/>
                <w:bdr w:val="single" w:color="auto" w:sz="4" w:space="0"/>
              </w:rPr>
            </w:pPr>
            <w:r>
              <w:rPr>
                <w:rFonts w:hint="eastAsia" w:asciiTheme="minorEastAsia" w:hAnsiTheme="minorEastAsia" w:eastAsiaTheme="minorEastAsia"/>
                <w:sz w:val="24"/>
                <w:szCs w:val="24"/>
                <w:bdr w:val="single" w:color="auto" w:sz="4" w:space="0"/>
              </w:rPr>
              <w:t>2  垃圾收集点的服务半径不宜超过70m。</w:t>
            </w:r>
          </w:p>
          <w:p>
            <w:pPr>
              <w:pStyle w:val="7"/>
              <w:adjustRightInd w:val="0"/>
              <w:snapToGrid w:val="0"/>
              <w:spacing w:line="360" w:lineRule="auto"/>
              <w:ind w:firstLine="480" w:firstLineChars="200"/>
              <w:rPr>
                <w:rFonts w:asciiTheme="minorEastAsia" w:hAnsiTheme="minorEastAsia" w:eastAsiaTheme="minorEastAsia"/>
                <w:kern w:val="0"/>
                <w:sz w:val="24"/>
                <w:bdr w:val="single" w:color="auto" w:sz="4" w:space="0"/>
              </w:rPr>
            </w:pPr>
            <w:r>
              <w:rPr>
                <w:rFonts w:hint="eastAsia" w:asciiTheme="minorEastAsia" w:hAnsiTheme="minorEastAsia" w:eastAsiaTheme="minorEastAsia"/>
                <w:kern w:val="0"/>
                <w:sz w:val="24"/>
                <w:bdr w:val="single" w:color="auto" w:sz="4" w:space="0"/>
              </w:rPr>
              <w:t>3  收集点根据垃圾量设置收集箱或垃圾桶。每个收集点宜设2-10个垃圾桶。垃圾桶应符合现行国家标准</w:t>
            </w:r>
            <w:r>
              <w:rPr>
                <w:rFonts w:asciiTheme="minorEastAsia" w:hAnsiTheme="minorEastAsia" w:eastAsiaTheme="minorEastAsia"/>
                <w:kern w:val="0"/>
                <w:sz w:val="24"/>
                <w:bdr w:val="single" w:color="auto" w:sz="4" w:space="0"/>
              </w:rPr>
              <w:t>《塑料垃圾桶通用技术条件》CJ/T280</w:t>
            </w:r>
            <w:r>
              <w:rPr>
                <w:rFonts w:hint="eastAsia" w:asciiTheme="minorEastAsia" w:hAnsiTheme="minorEastAsia" w:eastAsiaTheme="minorEastAsia"/>
                <w:kern w:val="0"/>
                <w:sz w:val="24"/>
                <w:bdr w:val="single" w:color="auto" w:sz="4" w:space="0"/>
              </w:rPr>
              <w:t>的要求。</w:t>
            </w:r>
          </w:p>
          <w:p>
            <w:pPr>
              <w:pStyle w:val="39"/>
              <w:widowControl w:val="0"/>
              <w:adjustRightInd w:val="0"/>
              <w:snapToGrid w:val="0"/>
              <w:spacing w:line="360" w:lineRule="auto"/>
              <w:ind w:firstLine="480" w:firstLineChars="200"/>
              <w:jc w:val="both"/>
              <w:rPr>
                <w:rFonts w:asciiTheme="minorEastAsia" w:hAnsiTheme="minorEastAsia" w:eastAsiaTheme="minorEastAsia"/>
                <w:sz w:val="24"/>
                <w:szCs w:val="24"/>
                <w:bdr w:val="single" w:color="auto" w:sz="4" w:space="0"/>
              </w:rPr>
            </w:pPr>
            <w:r>
              <w:rPr>
                <w:rFonts w:hint="eastAsia" w:asciiTheme="minorEastAsia" w:hAnsiTheme="minorEastAsia" w:eastAsiaTheme="minorEastAsia"/>
                <w:sz w:val="24"/>
                <w:szCs w:val="24"/>
                <w:bdr w:val="single" w:color="auto" w:sz="4" w:space="0"/>
              </w:rPr>
              <w:t>4  分类垃圾收集点应根据分类收集要求设置垃圾桶，垃圾桶的色彩标志及分类标识应符合国家现行标准《生活垃圾分类标志》GB/T19095的要求。</w:t>
            </w:r>
          </w:p>
        </w:tc>
        <w:tc>
          <w:tcPr>
            <w:tcW w:w="4138" w:type="dxa"/>
          </w:tcPr>
          <w:p>
            <w:pPr>
              <w:pStyle w:val="40"/>
              <w:widowControl w:val="0"/>
              <w:spacing w:line="360" w:lineRule="auto"/>
              <w:ind w:firstLine="0" w:firstLineChars="0"/>
              <w:rPr>
                <w:rFonts w:asciiTheme="minorEastAsia" w:hAnsiTheme="minorEastAsia" w:eastAsiaTheme="minorEastAsia"/>
                <w:sz w:val="24"/>
                <w:szCs w:val="24"/>
                <w:u w:val="single"/>
              </w:rPr>
            </w:pPr>
            <w:r>
              <w:rPr>
                <w:rFonts w:hint="eastAsia" w:asciiTheme="minorEastAsia" w:hAnsiTheme="minorEastAsia" w:eastAsiaTheme="minorEastAsia"/>
                <w:b/>
                <w:sz w:val="24"/>
                <w:szCs w:val="24"/>
              </w:rPr>
              <w:t>3.2.4</w:t>
            </w:r>
            <w:r>
              <w:rPr>
                <w:rFonts w:asciiTheme="minorEastAsia" w:hAnsiTheme="minorEastAsia" w:eastAsiaTheme="minorEastAsia"/>
                <w:b/>
                <w:sz w:val="24"/>
                <w:szCs w:val="24"/>
              </w:rPr>
              <w:t xml:space="preserve"> </w:t>
            </w:r>
            <w:r>
              <w:rPr>
                <w:rFonts w:hint="eastAsia" w:asciiTheme="minorEastAsia" w:hAnsiTheme="minorEastAsia" w:eastAsiaTheme="minorEastAsia"/>
                <w:sz w:val="24"/>
                <w:szCs w:val="24"/>
                <w:u w:val="single"/>
              </w:rPr>
              <w:t>农村地区</w:t>
            </w:r>
            <w:r>
              <w:rPr>
                <w:rFonts w:asciiTheme="minorEastAsia" w:hAnsiTheme="minorEastAsia" w:eastAsiaTheme="minorEastAsia"/>
                <w:sz w:val="24"/>
                <w:szCs w:val="24"/>
                <w:u w:val="single"/>
              </w:rPr>
              <w:t>每个自然村宜</w:t>
            </w:r>
            <w:r>
              <w:rPr>
                <w:rFonts w:hint="eastAsia" w:asciiTheme="minorEastAsia" w:hAnsiTheme="minorEastAsia" w:eastAsiaTheme="minorEastAsia"/>
                <w:sz w:val="24"/>
                <w:szCs w:val="24"/>
                <w:u w:val="single"/>
              </w:rPr>
              <w:t>设置</w:t>
            </w:r>
            <w:r>
              <w:rPr>
                <w:rFonts w:asciiTheme="minorEastAsia" w:hAnsiTheme="minorEastAsia" w:eastAsiaTheme="minorEastAsia"/>
                <w:sz w:val="24"/>
                <w:szCs w:val="24"/>
                <w:u w:val="single"/>
              </w:rPr>
              <w:t>一座收集站。</w:t>
            </w:r>
            <w:r>
              <w:rPr>
                <w:rFonts w:hint="eastAsia" w:asciiTheme="minorEastAsia" w:hAnsiTheme="minorEastAsia" w:eastAsiaTheme="minorEastAsia"/>
                <w:sz w:val="24"/>
                <w:szCs w:val="24"/>
                <w:u w:val="single"/>
              </w:rPr>
              <w:t>相邻村庄根据实际可合并设置收集站。</w:t>
            </w:r>
          </w:p>
          <w:p>
            <w:pPr>
              <w:spacing w:line="360" w:lineRule="auto"/>
              <w:ind w:firstLine="472" w:firstLineChars="197"/>
              <w:rPr>
                <w:rFonts w:asciiTheme="minorEastAsia" w:hAnsiTheme="minorEastAsia"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138" w:type="dxa"/>
          </w:tcPr>
          <w:p>
            <w:pPr>
              <w:pStyle w:val="39"/>
              <w:widowControl w:val="0"/>
              <w:spacing w:line="360" w:lineRule="auto"/>
              <w:jc w:val="both"/>
              <w:rPr>
                <w:rFonts w:asciiTheme="minorEastAsia" w:hAnsiTheme="minorEastAsia" w:eastAsiaTheme="minorEastAsia"/>
                <w:b/>
                <w:sz w:val="24"/>
                <w:szCs w:val="24"/>
              </w:rPr>
            </w:pPr>
          </w:p>
        </w:tc>
        <w:tc>
          <w:tcPr>
            <w:tcW w:w="4138" w:type="dxa"/>
          </w:tcPr>
          <w:p>
            <w:pPr>
              <w:pStyle w:val="46"/>
              <w:adjustRightInd w:val="0"/>
              <w:snapToGrid w:val="0"/>
              <w:spacing w:line="360" w:lineRule="auto"/>
              <w:rPr>
                <w:rFonts w:asciiTheme="minorEastAsia" w:hAnsiTheme="minorEastAsia" w:eastAsiaTheme="minorEastAsia"/>
                <w:sz w:val="24"/>
                <w:szCs w:val="24"/>
                <w:lang w:val="zh-CN"/>
              </w:rPr>
            </w:pPr>
            <w:r>
              <w:rPr>
                <w:rFonts w:hint="eastAsia" w:ascii="宋体" w:hAnsi="宋体" w:eastAsia="宋体"/>
                <w:sz w:val="24"/>
                <w:szCs w:val="24"/>
              </w:rPr>
              <w:t>3</w:t>
            </w:r>
            <w:r>
              <w:rPr>
                <w:rFonts w:ascii="宋体" w:hAnsi="宋体" w:eastAsia="宋体"/>
                <w:sz w:val="24"/>
                <w:szCs w:val="24"/>
              </w:rPr>
              <w:t>.2.</w:t>
            </w:r>
            <w:r>
              <w:rPr>
                <w:rFonts w:hint="eastAsia" w:ascii="宋体" w:hAnsi="宋体" w:eastAsia="宋体"/>
                <w:sz w:val="24"/>
                <w:szCs w:val="24"/>
              </w:rPr>
              <w:t>5</w:t>
            </w:r>
            <w:r>
              <w:rPr>
                <w:rFonts w:ascii="宋体" w:hAnsi="宋体" w:eastAsia="宋体"/>
                <w:sz w:val="24"/>
                <w:szCs w:val="24"/>
              </w:rPr>
              <w:t xml:space="preserve"> </w:t>
            </w:r>
            <w:r>
              <w:rPr>
                <w:rFonts w:hint="eastAsia" w:ascii="宋体" w:hAnsi="宋体" w:eastAsia="宋体"/>
                <w:sz w:val="24"/>
                <w:szCs w:val="24"/>
              </w:rPr>
              <w:t xml:space="preserve"> 收集站服务半径应符合下列规定：</w:t>
            </w:r>
          </w:p>
          <w:p>
            <w:pPr>
              <w:adjustRightInd w:val="0"/>
              <w:snapToGrid w:val="0"/>
              <w:spacing w:line="360" w:lineRule="auto"/>
              <w:rPr>
                <w:rFonts w:asciiTheme="minorEastAsia" w:hAnsiTheme="minorEastAsia" w:eastAsiaTheme="minorEastAsia"/>
                <w:sz w:val="24"/>
                <w:u w:val="single"/>
              </w:rPr>
            </w:pPr>
            <w:r>
              <w:rPr>
                <w:rFonts w:hint="eastAsia" w:asciiTheme="minorEastAsia" w:hAnsiTheme="minorEastAsia" w:eastAsiaTheme="minorEastAsia"/>
                <w:b/>
                <w:sz w:val="24"/>
                <w:u w:val="single"/>
              </w:rPr>
              <w:t>2A</w:t>
            </w:r>
            <w:r>
              <w:rPr>
                <w:rFonts w:hint="eastAsia" w:asciiTheme="minorEastAsia" w:hAnsiTheme="minorEastAsia" w:eastAsiaTheme="minorEastAsia"/>
                <w:sz w:val="24"/>
              </w:rPr>
              <w:t xml:space="preserve"> </w:t>
            </w:r>
            <w:r>
              <w:rPr>
                <w:rFonts w:hint="eastAsia" w:asciiTheme="minorEastAsia" w:hAnsiTheme="minorEastAsia" w:eastAsiaTheme="minorEastAsia"/>
                <w:sz w:val="24"/>
                <w:u w:val="single"/>
              </w:rPr>
              <w:t>农村</w:t>
            </w:r>
            <w:r>
              <w:rPr>
                <w:rFonts w:asciiTheme="minorEastAsia" w:hAnsiTheme="minorEastAsia" w:eastAsiaTheme="minorEastAsia"/>
                <w:sz w:val="24"/>
                <w:u w:val="single"/>
              </w:rPr>
              <w:t>地区服务半径可适当</w:t>
            </w:r>
            <w:r>
              <w:rPr>
                <w:rFonts w:hint="eastAsia" w:asciiTheme="minorEastAsia" w:hAnsiTheme="minorEastAsia" w:eastAsiaTheme="minorEastAsia"/>
                <w:sz w:val="24"/>
                <w:u w:val="single"/>
              </w:rPr>
              <w:t>增大</w:t>
            </w:r>
            <w:r>
              <w:rPr>
                <w:rFonts w:asciiTheme="minorEastAsia" w:hAnsiTheme="minorEastAsia" w:eastAsiaTheme="minorEastAsia"/>
                <w:sz w:val="24"/>
                <w:u w:val="single"/>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138" w:type="dxa"/>
          </w:tcPr>
          <w:p>
            <w:pPr>
              <w:spacing w:line="360" w:lineRule="auto"/>
              <w:rPr>
                <w:rFonts w:asciiTheme="minorEastAsia" w:hAnsiTheme="minorEastAsia" w:eastAsiaTheme="minorEastAsia"/>
                <w:b/>
                <w:sz w:val="24"/>
                <w:u w:val="single"/>
              </w:rPr>
            </w:pPr>
            <w:r>
              <w:rPr>
                <w:rFonts w:hint="eastAsia" w:asciiTheme="minorEastAsia" w:hAnsiTheme="minorEastAsia" w:eastAsiaTheme="minorEastAsia"/>
                <w:b/>
                <w:sz w:val="24"/>
                <w:u w:val="single"/>
              </w:rPr>
              <w:t>3.2.5A</w:t>
            </w:r>
            <w:r>
              <w:rPr>
                <w:rFonts w:hint="eastAsia" w:asciiTheme="minorEastAsia" w:hAnsiTheme="minorEastAsia" w:eastAsiaTheme="minorEastAsia"/>
                <w:sz w:val="24"/>
              </w:rPr>
              <w:t xml:space="preserve">  </w:t>
            </w:r>
            <w:r>
              <w:rPr>
                <w:rFonts w:hint="eastAsia" w:asciiTheme="minorEastAsia" w:hAnsiTheme="minorEastAsia" w:eastAsiaTheme="minorEastAsia"/>
                <w:sz w:val="24"/>
                <w:u w:val="single"/>
              </w:rPr>
              <w:t>采用分类收集的收集站，应满足其分类收运和分拣、暂存的要求。</w:t>
            </w:r>
          </w:p>
        </w:tc>
        <w:tc>
          <w:tcPr>
            <w:tcW w:w="4138" w:type="dxa"/>
          </w:tcPr>
          <w:p>
            <w:pPr>
              <w:pStyle w:val="40"/>
              <w:widowControl w:val="0"/>
              <w:adjustRightInd w:val="0"/>
              <w:snapToGrid w:val="0"/>
              <w:spacing w:line="360" w:lineRule="auto"/>
              <w:ind w:firstLine="0" w:firstLineChars="0"/>
              <w:rPr>
                <w:rFonts w:asciiTheme="minorEastAsia" w:hAnsiTheme="minorEastAsia" w:eastAsiaTheme="minorEastAsia"/>
                <w:b/>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138" w:type="dxa"/>
          </w:tcPr>
          <w:p>
            <w:pPr>
              <w:adjustRightInd w:val="0"/>
              <w:snapToGrid w:val="0"/>
              <w:spacing w:line="360" w:lineRule="auto"/>
              <w:rPr>
                <w:rFonts w:ascii="宋体" w:hAnsi="宋体"/>
                <w:sz w:val="24"/>
              </w:rPr>
            </w:pPr>
            <w:r>
              <w:rPr>
                <w:rFonts w:hint="eastAsia"/>
                <w:b/>
                <w:sz w:val="24"/>
              </w:rPr>
              <w:t xml:space="preserve">4.1.2 </w:t>
            </w:r>
            <w:r>
              <w:rPr>
                <w:rFonts w:hint="eastAsia" w:ascii="宋体" w:hAnsi="宋体"/>
                <w:sz w:val="24"/>
              </w:rPr>
              <w:t xml:space="preserve"> 设计规模和</w:t>
            </w:r>
            <w:r>
              <w:rPr>
                <w:rFonts w:ascii="宋体" w:hAnsi="宋体"/>
                <w:sz w:val="24"/>
              </w:rPr>
              <w:t>作业</w:t>
            </w:r>
            <w:r>
              <w:rPr>
                <w:rFonts w:hint="eastAsia" w:ascii="宋体" w:hAnsi="宋体"/>
                <w:sz w:val="24"/>
              </w:rPr>
              <w:t>能力应满足</w:t>
            </w:r>
            <w:r>
              <w:rPr>
                <w:rFonts w:ascii="宋体" w:hAnsi="宋体"/>
                <w:sz w:val="24"/>
              </w:rPr>
              <w:t>其服务区域内生活垃圾“日产日清”</w:t>
            </w:r>
            <w:r>
              <w:rPr>
                <w:rFonts w:hint="eastAsia" w:ascii="宋体" w:hAnsi="宋体"/>
                <w:sz w:val="24"/>
              </w:rPr>
              <w:t>的要求</w:t>
            </w:r>
            <w:r>
              <w:rPr>
                <w:rFonts w:ascii="宋体" w:hAnsi="宋体"/>
                <w:sz w:val="24"/>
              </w:rPr>
              <w:t>。</w:t>
            </w:r>
            <w:r>
              <w:rPr>
                <w:rFonts w:hint="eastAsia" w:ascii="宋体" w:hAnsi="宋体"/>
                <w:sz w:val="24"/>
                <w:bdr w:val="single" w:color="auto" w:sz="0" w:space="0"/>
              </w:rPr>
              <w:t>采用分类收集的收集站，</w:t>
            </w:r>
            <w:r>
              <w:rPr>
                <w:rFonts w:hint="eastAsia" w:ascii="宋体" w:hAnsi="宋体"/>
                <w:sz w:val="24"/>
              </w:rPr>
              <w:t>应满足其分类收运和</w:t>
            </w:r>
            <w:r>
              <w:rPr>
                <w:rFonts w:hint="eastAsia" w:ascii="宋体" w:hAnsi="宋体"/>
                <w:sz w:val="24"/>
                <w:bdr w:val="single" w:color="auto" w:sz="0" w:space="0"/>
              </w:rPr>
              <w:t>简单</w:t>
            </w:r>
            <w:r>
              <w:rPr>
                <w:rFonts w:hint="eastAsia" w:ascii="宋体" w:hAnsi="宋体"/>
                <w:sz w:val="24"/>
              </w:rPr>
              <w:t>分拣、储存的要求。</w:t>
            </w:r>
          </w:p>
        </w:tc>
        <w:tc>
          <w:tcPr>
            <w:tcW w:w="4138" w:type="dxa"/>
          </w:tcPr>
          <w:p>
            <w:pPr>
              <w:pStyle w:val="46"/>
              <w:adjustRightInd w:val="0"/>
              <w:snapToGrid w:val="0"/>
              <w:spacing w:line="360" w:lineRule="auto"/>
              <w:rPr>
                <w:rFonts w:ascii="宋体" w:hAnsi="宋体" w:eastAsia="宋体"/>
                <w:sz w:val="24"/>
                <w:szCs w:val="24"/>
              </w:rPr>
            </w:pPr>
            <w:r>
              <w:rPr>
                <w:rFonts w:hint="eastAsia"/>
                <w:b/>
                <w:sz w:val="24"/>
                <w:szCs w:val="24"/>
              </w:rPr>
              <w:t xml:space="preserve">4.1.2 </w:t>
            </w:r>
            <w:r>
              <w:rPr>
                <w:rFonts w:hint="eastAsia" w:ascii="宋体" w:hAnsi="宋体" w:eastAsia="宋体"/>
                <w:sz w:val="24"/>
                <w:szCs w:val="24"/>
              </w:rPr>
              <w:t xml:space="preserve"> 设计规模和</w:t>
            </w:r>
            <w:r>
              <w:rPr>
                <w:rFonts w:ascii="宋体" w:hAnsi="宋体" w:eastAsia="宋体"/>
                <w:sz w:val="24"/>
                <w:szCs w:val="24"/>
              </w:rPr>
              <w:t>作业</w:t>
            </w:r>
            <w:r>
              <w:rPr>
                <w:rFonts w:hint="eastAsia" w:ascii="宋体" w:hAnsi="宋体" w:eastAsia="宋体"/>
                <w:sz w:val="24"/>
                <w:szCs w:val="24"/>
              </w:rPr>
              <w:t>能力应满足</w:t>
            </w:r>
            <w:r>
              <w:rPr>
                <w:rFonts w:ascii="宋体" w:hAnsi="宋体" w:eastAsia="宋体"/>
                <w:sz w:val="24"/>
                <w:szCs w:val="24"/>
              </w:rPr>
              <w:t>其服务区域内生活垃圾“日产日清”</w:t>
            </w:r>
            <w:r>
              <w:rPr>
                <w:rFonts w:hint="eastAsia" w:ascii="宋体" w:hAnsi="宋体" w:eastAsia="宋体"/>
                <w:sz w:val="24"/>
                <w:szCs w:val="24"/>
              </w:rPr>
              <w:t>的要求</w:t>
            </w:r>
            <w:r>
              <w:rPr>
                <w:rFonts w:ascii="宋体" w:hAnsi="宋体" w:eastAsia="宋体"/>
                <w:sz w:val="24"/>
                <w:szCs w:val="24"/>
              </w:rPr>
              <w:t>。</w:t>
            </w:r>
            <w:r>
              <w:rPr>
                <w:rFonts w:hint="eastAsia" w:asciiTheme="minorEastAsia" w:hAnsiTheme="minorEastAsia" w:eastAsiaTheme="minorEastAsia"/>
                <w:kern w:val="2"/>
                <w:sz w:val="24"/>
                <w:szCs w:val="24"/>
                <w:u w:val="single"/>
              </w:rPr>
              <w:t>实行垃圾分类收集的地区</w:t>
            </w:r>
            <w:r>
              <w:rPr>
                <w:rFonts w:hint="eastAsia" w:ascii="宋体" w:hAnsi="宋体" w:eastAsia="宋体"/>
                <w:sz w:val="24"/>
                <w:szCs w:val="24"/>
                <w:u w:val="single"/>
              </w:rPr>
              <w:t>，</w:t>
            </w:r>
            <w:r>
              <w:rPr>
                <w:rFonts w:hint="eastAsia" w:asciiTheme="minorEastAsia" w:hAnsiTheme="minorEastAsia" w:eastAsiaTheme="minorEastAsia"/>
                <w:kern w:val="2"/>
                <w:sz w:val="24"/>
                <w:szCs w:val="24"/>
                <w:u w:val="single"/>
              </w:rPr>
              <w:t>收集站</w:t>
            </w:r>
            <w:r>
              <w:rPr>
                <w:rFonts w:hint="eastAsia" w:ascii="宋体" w:hAnsi="宋体" w:eastAsia="宋体"/>
                <w:sz w:val="24"/>
                <w:szCs w:val="24"/>
              </w:rPr>
              <w:t>应满足其分类收运和分拣、储存的要求。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138" w:type="dxa"/>
          </w:tcPr>
          <w:p>
            <w:pPr>
              <w:pStyle w:val="39"/>
              <w:widowControl w:val="0"/>
              <w:spacing w:line="360" w:lineRule="auto"/>
              <w:jc w:val="both"/>
              <w:rPr>
                <w:rFonts w:asciiTheme="minorEastAsia" w:hAnsiTheme="minorEastAsia" w:eastAsiaTheme="minorEastAsia"/>
                <w:sz w:val="24"/>
                <w:szCs w:val="24"/>
              </w:rPr>
            </w:pPr>
            <w:r>
              <w:rPr>
                <w:rFonts w:hint="eastAsia" w:asciiTheme="minorEastAsia" w:hAnsiTheme="minorEastAsia" w:eastAsiaTheme="minorEastAsia"/>
                <w:b/>
                <w:sz w:val="24"/>
                <w:szCs w:val="24"/>
              </w:rPr>
              <w:t>表4.1.</w:t>
            </w:r>
            <w:r>
              <w:rPr>
                <w:rFonts w:asciiTheme="minorEastAsia" w:hAnsiTheme="minorEastAsia" w:eastAsiaTheme="minorEastAsia"/>
                <w:b/>
                <w:sz w:val="24"/>
                <w:szCs w:val="24"/>
              </w:rPr>
              <w:t>3 收集站的用地指标</w:t>
            </w:r>
          </w:p>
          <w:p>
            <w:pPr>
              <w:pStyle w:val="39"/>
              <w:widowControl w:val="0"/>
              <w:spacing w:line="360" w:lineRule="auto"/>
              <w:jc w:val="both"/>
              <w:rPr>
                <w:rFonts w:asciiTheme="minorEastAsia" w:hAnsiTheme="minorEastAsia" w:eastAsiaTheme="minorEastAsia"/>
                <w:b/>
                <w:sz w:val="24"/>
                <w:szCs w:val="24"/>
              </w:rPr>
            </w:pPr>
            <w:r>
              <w:rPr>
                <w:rFonts w:hint="eastAsia" w:asciiTheme="minorEastAsia" w:hAnsiTheme="minorEastAsia" w:eastAsiaTheme="minorEastAsia"/>
                <w:sz w:val="24"/>
                <w:szCs w:val="24"/>
              </w:rPr>
              <w:t>注：</w:t>
            </w:r>
            <w:r>
              <w:rPr>
                <w:rFonts w:asciiTheme="minorEastAsia" w:hAnsiTheme="minorEastAsia" w:eastAsiaTheme="minorEastAsia"/>
                <w:sz w:val="24"/>
                <w:szCs w:val="24"/>
              </w:rPr>
              <w:t>1</w:t>
            </w:r>
            <w:r>
              <w:rPr>
                <w:rFonts w:hint="eastAsia" w:asciiTheme="minorEastAsia" w:hAnsiTheme="minorEastAsia" w:eastAsiaTheme="minorEastAsia"/>
                <w:sz w:val="24"/>
                <w:szCs w:val="24"/>
              </w:rPr>
              <w:t>．带有分类收集功能或环卫工人休息功能的收集站，应适当增加占地面积。</w:t>
            </w:r>
          </w:p>
        </w:tc>
        <w:tc>
          <w:tcPr>
            <w:tcW w:w="4138" w:type="dxa"/>
          </w:tcPr>
          <w:p>
            <w:pPr>
              <w:pStyle w:val="40"/>
              <w:widowControl w:val="0"/>
              <w:adjustRightInd w:val="0"/>
              <w:snapToGrid w:val="0"/>
              <w:spacing w:line="360" w:lineRule="auto"/>
              <w:ind w:firstLine="0" w:firstLineChars="0"/>
              <w:rPr>
                <w:rFonts w:asciiTheme="minorEastAsia" w:hAnsiTheme="minorEastAsia" w:eastAsiaTheme="minorEastAsia"/>
                <w:b/>
                <w:sz w:val="24"/>
                <w:szCs w:val="24"/>
              </w:rPr>
            </w:pPr>
            <w:r>
              <w:rPr>
                <w:rFonts w:hint="eastAsia" w:asciiTheme="minorEastAsia" w:hAnsiTheme="minorEastAsia" w:eastAsiaTheme="minorEastAsia"/>
                <w:b/>
                <w:sz w:val="24"/>
                <w:szCs w:val="24"/>
              </w:rPr>
              <w:t>表4.1.</w:t>
            </w:r>
            <w:r>
              <w:rPr>
                <w:rFonts w:asciiTheme="minorEastAsia" w:hAnsiTheme="minorEastAsia" w:eastAsiaTheme="minorEastAsia"/>
                <w:b/>
                <w:sz w:val="24"/>
                <w:szCs w:val="24"/>
              </w:rPr>
              <w:t>3 收集站的用地指标</w:t>
            </w:r>
          </w:p>
          <w:p>
            <w:pPr>
              <w:pStyle w:val="40"/>
              <w:widowControl w:val="0"/>
              <w:adjustRightInd w:val="0"/>
              <w:snapToGrid w:val="0"/>
              <w:spacing w:line="360" w:lineRule="auto"/>
              <w:ind w:firstLine="480"/>
              <w:rPr>
                <w:rFonts w:asciiTheme="minorEastAsia" w:hAnsiTheme="minorEastAsia" w:eastAsiaTheme="minorEastAsia"/>
                <w:b/>
                <w:sz w:val="24"/>
                <w:szCs w:val="24"/>
              </w:rPr>
            </w:pPr>
            <w:r>
              <w:rPr>
                <w:rFonts w:hint="eastAsia" w:asciiTheme="minorEastAsia" w:hAnsiTheme="minorEastAsia" w:eastAsiaTheme="minorEastAsia"/>
                <w:sz w:val="24"/>
                <w:szCs w:val="24"/>
              </w:rPr>
              <w:t>注：</w:t>
            </w:r>
            <w:r>
              <w:rPr>
                <w:rFonts w:asciiTheme="minorEastAsia" w:hAnsiTheme="minorEastAsia" w:eastAsiaTheme="minorEastAsia"/>
                <w:sz w:val="24"/>
                <w:szCs w:val="24"/>
              </w:rPr>
              <w:t>1</w:t>
            </w:r>
            <w:r>
              <w:rPr>
                <w:rFonts w:hint="eastAsia" w:asciiTheme="minorEastAsia" w:hAnsiTheme="minorEastAsia" w:eastAsiaTheme="minorEastAsia"/>
                <w:sz w:val="24"/>
                <w:szCs w:val="24"/>
              </w:rPr>
              <w:t>．带有分类收集功能或环卫工人休息功能的收集站，应适当增加占地面积</w:t>
            </w:r>
            <w:r>
              <w:rPr>
                <w:rFonts w:hint="eastAsia" w:asciiTheme="minorEastAsia" w:hAnsiTheme="minorEastAsia" w:eastAsiaTheme="minorEastAsia"/>
                <w:sz w:val="24"/>
                <w:szCs w:val="24"/>
                <w:u w:val="single"/>
              </w:rPr>
              <w:t>，占地面积可上浮10%-50%。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138" w:type="dxa"/>
          </w:tcPr>
          <w:p>
            <w:pPr>
              <w:pStyle w:val="39"/>
              <w:widowControl w:val="0"/>
              <w:spacing w:line="360" w:lineRule="auto"/>
              <w:jc w:val="both"/>
              <w:rPr>
                <w:rFonts w:asciiTheme="minorEastAsia" w:hAnsiTheme="minorEastAsia" w:eastAsiaTheme="minorEastAsia"/>
                <w:b/>
                <w:sz w:val="24"/>
                <w:szCs w:val="24"/>
              </w:rPr>
            </w:pPr>
          </w:p>
        </w:tc>
        <w:tc>
          <w:tcPr>
            <w:tcW w:w="4138" w:type="dxa"/>
          </w:tcPr>
          <w:p>
            <w:pPr>
              <w:pStyle w:val="40"/>
              <w:widowControl w:val="0"/>
              <w:ind w:firstLine="198" w:firstLineChars="82"/>
              <w:rPr>
                <w:rFonts w:asciiTheme="minorEastAsia" w:hAnsiTheme="minorEastAsia" w:eastAsiaTheme="minorEastAsia"/>
                <w:b/>
                <w:sz w:val="24"/>
                <w:szCs w:val="24"/>
              </w:rPr>
            </w:pPr>
            <w:r>
              <w:rPr>
                <w:rFonts w:hint="eastAsia" w:asciiTheme="minorEastAsia" w:hAnsiTheme="minorEastAsia" w:eastAsiaTheme="minorEastAsia"/>
                <w:b/>
                <w:sz w:val="24"/>
                <w:szCs w:val="24"/>
              </w:rPr>
              <w:t>4.1.</w:t>
            </w:r>
            <w:r>
              <w:rPr>
                <w:rFonts w:asciiTheme="minorEastAsia" w:hAnsiTheme="minorEastAsia" w:eastAsiaTheme="minorEastAsia"/>
                <w:b/>
                <w:sz w:val="24"/>
                <w:szCs w:val="24"/>
              </w:rPr>
              <w:t>4</w:t>
            </w:r>
          </w:p>
          <w:p>
            <w:pPr>
              <w:spacing w:line="360" w:lineRule="auto"/>
              <w:rPr>
                <w:rFonts w:asciiTheme="minorEastAsia" w:hAnsiTheme="minorEastAsia" w:eastAsiaTheme="minorEastAsia"/>
                <w:sz w:val="24"/>
                <w:u w:val="single"/>
              </w:rPr>
            </w:pPr>
            <w:r>
              <w:rPr>
                <w:rFonts w:hint="eastAsia" w:asciiTheme="minorEastAsia" w:hAnsiTheme="minorEastAsia" w:eastAsiaTheme="minorEastAsia"/>
                <w:sz w:val="24"/>
                <w:u w:val="single"/>
              </w:rPr>
              <w:t>注</w:t>
            </w:r>
            <w:r>
              <w:rPr>
                <w:rFonts w:asciiTheme="minorEastAsia" w:hAnsiTheme="minorEastAsia" w:eastAsiaTheme="minorEastAsia"/>
                <w:sz w:val="24"/>
                <w:u w:val="single"/>
              </w:rPr>
              <w:t>：当</w:t>
            </w:r>
            <w:r>
              <w:rPr>
                <w:rFonts w:hint="eastAsia" w:asciiTheme="minorEastAsia" w:hAnsiTheme="minorEastAsia" w:eastAsiaTheme="minorEastAsia"/>
                <w:sz w:val="24"/>
                <w:u w:val="single"/>
              </w:rPr>
              <w:t>服务区域内部分生活垃圾</w:t>
            </w:r>
            <w:r>
              <w:rPr>
                <w:rFonts w:asciiTheme="minorEastAsia" w:hAnsiTheme="minorEastAsia" w:eastAsiaTheme="minorEastAsia"/>
                <w:sz w:val="24"/>
                <w:u w:val="single"/>
              </w:rPr>
              <w:t>发生分流的情况</w:t>
            </w:r>
            <w:r>
              <w:rPr>
                <w:rFonts w:hint="eastAsia" w:asciiTheme="minorEastAsia" w:hAnsiTheme="minorEastAsia" w:eastAsiaTheme="minorEastAsia"/>
                <w:sz w:val="24"/>
                <w:u w:val="single"/>
              </w:rPr>
              <w:t>，收集站</w:t>
            </w:r>
            <w:r>
              <w:rPr>
                <w:rFonts w:asciiTheme="minorEastAsia" w:hAnsiTheme="minorEastAsia" w:eastAsiaTheme="minorEastAsia"/>
                <w:sz w:val="24"/>
                <w:u w:val="single"/>
              </w:rPr>
              <w:t>的设计规模应根据实际情况</w:t>
            </w:r>
            <w:r>
              <w:rPr>
                <w:rFonts w:hint="eastAsia" w:asciiTheme="minorEastAsia" w:hAnsiTheme="minorEastAsia" w:eastAsiaTheme="minorEastAsia"/>
                <w:sz w:val="24"/>
                <w:u w:val="single"/>
              </w:rPr>
              <w:t>核减</w:t>
            </w:r>
            <w:r>
              <w:rPr>
                <w:rFonts w:asciiTheme="minorEastAsia" w:hAnsiTheme="minorEastAsia" w:eastAsiaTheme="minorEastAsia"/>
                <w:sz w:val="24"/>
                <w:u w:val="single"/>
              </w:rPr>
              <w:t>。</w:t>
            </w:r>
            <w:r>
              <w:rPr>
                <w:rFonts w:hint="eastAsia" w:asciiTheme="minorEastAsia" w:hAnsiTheme="minorEastAsia" w:eastAsiaTheme="minorEastAsia"/>
                <w:sz w:val="24"/>
                <w:u w:val="single"/>
              </w:rPr>
              <w:t>包括但不限于:</w:t>
            </w:r>
          </w:p>
          <w:p>
            <w:pPr>
              <w:spacing w:line="360" w:lineRule="auto"/>
              <w:rPr>
                <w:rFonts w:asciiTheme="minorEastAsia" w:hAnsiTheme="minorEastAsia" w:eastAsiaTheme="minorEastAsia"/>
                <w:sz w:val="24"/>
                <w:u w:val="single"/>
              </w:rPr>
            </w:pPr>
            <w:r>
              <w:rPr>
                <w:rFonts w:asciiTheme="minorEastAsia" w:hAnsiTheme="minorEastAsia" w:eastAsiaTheme="minorEastAsia"/>
                <w:sz w:val="24"/>
                <w:u w:val="single"/>
              </w:rPr>
              <w:t xml:space="preserve">1 </w:t>
            </w:r>
            <w:r>
              <w:rPr>
                <w:rFonts w:hint="eastAsia" w:asciiTheme="minorEastAsia" w:hAnsiTheme="minorEastAsia" w:eastAsiaTheme="minorEastAsia"/>
                <w:sz w:val="24"/>
                <w:u w:val="single"/>
              </w:rPr>
              <w:t>因</w:t>
            </w:r>
            <w:r>
              <w:rPr>
                <w:rFonts w:asciiTheme="minorEastAsia" w:hAnsiTheme="minorEastAsia" w:eastAsiaTheme="minorEastAsia"/>
                <w:sz w:val="24"/>
                <w:u w:val="single"/>
              </w:rPr>
              <w:t>生活垃圾分类，可回收物进入</w:t>
            </w:r>
            <w:r>
              <w:rPr>
                <w:rFonts w:hint="eastAsia" w:asciiTheme="minorEastAsia" w:hAnsiTheme="minorEastAsia" w:eastAsiaTheme="minorEastAsia"/>
                <w:sz w:val="24"/>
                <w:u w:val="single"/>
              </w:rPr>
              <w:t>资源回收</w:t>
            </w:r>
            <w:r>
              <w:rPr>
                <w:rFonts w:asciiTheme="minorEastAsia" w:hAnsiTheme="minorEastAsia" w:eastAsiaTheme="minorEastAsia"/>
                <w:sz w:val="24"/>
                <w:u w:val="single"/>
              </w:rPr>
              <w:t>系统的</w:t>
            </w:r>
            <w:r>
              <w:rPr>
                <w:rFonts w:hint="eastAsia" w:asciiTheme="minorEastAsia" w:hAnsiTheme="minorEastAsia" w:eastAsiaTheme="minorEastAsia"/>
                <w:sz w:val="24"/>
                <w:u w:val="single"/>
              </w:rPr>
              <w:t>情况；</w:t>
            </w:r>
          </w:p>
          <w:p>
            <w:pPr>
              <w:spacing w:line="360" w:lineRule="auto"/>
              <w:rPr>
                <w:rFonts w:asciiTheme="minorEastAsia" w:hAnsiTheme="minorEastAsia" w:eastAsiaTheme="minorEastAsia"/>
                <w:sz w:val="24"/>
                <w:u w:val="single"/>
              </w:rPr>
            </w:pPr>
            <w:r>
              <w:rPr>
                <w:rFonts w:asciiTheme="minorEastAsia" w:hAnsiTheme="minorEastAsia" w:eastAsiaTheme="minorEastAsia"/>
                <w:sz w:val="24"/>
                <w:u w:val="single"/>
              </w:rPr>
              <w:t xml:space="preserve">2 </w:t>
            </w:r>
            <w:r>
              <w:rPr>
                <w:rFonts w:hint="eastAsia" w:asciiTheme="minorEastAsia" w:hAnsiTheme="minorEastAsia" w:eastAsiaTheme="minorEastAsia"/>
                <w:sz w:val="24"/>
                <w:u w:val="single"/>
              </w:rPr>
              <w:t>因</w:t>
            </w:r>
            <w:r>
              <w:rPr>
                <w:rFonts w:asciiTheme="minorEastAsia" w:hAnsiTheme="minorEastAsia" w:eastAsiaTheme="minorEastAsia"/>
                <w:sz w:val="24"/>
                <w:u w:val="single"/>
              </w:rPr>
              <w:t>生活垃圾分类，有害垃圾进入</w:t>
            </w:r>
            <w:r>
              <w:rPr>
                <w:rFonts w:hint="eastAsia" w:asciiTheme="minorEastAsia" w:hAnsiTheme="minorEastAsia" w:eastAsiaTheme="minorEastAsia"/>
                <w:sz w:val="24"/>
                <w:u w:val="single"/>
              </w:rPr>
              <w:t>有害垃圾收运</w:t>
            </w:r>
            <w:r>
              <w:rPr>
                <w:rFonts w:asciiTheme="minorEastAsia" w:hAnsiTheme="minorEastAsia" w:eastAsiaTheme="minorEastAsia"/>
                <w:sz w:val="24"/>
                <w:u w:val="single"/>
              </w:rPr>
              <w:t>系统的</w:t>
            </w:r>
            <w:r>
              <w:rPr>
                <w:rFonts w:hint="eastAsia" w:asciiTheme="minorEastAsia" w:hAnsiTheme="minorEastAsia" w:eastAsiaTheme="minorEastAsia"/>
                <w:sz w:val="24"/>
                <w:u w:val="single"/>
              </w:rPr>
              <w:t>情况；</w:t>
            </w:r>
          </w:p>
          <w:p>
            <w:pPr>
              <w:spacing w:line="360" w:lineRule="auto"/>
              <w:rPr>
                <w:rFonts w:asciiTheme="minorEastAsia" w:hAnsiTheme="minorEastAsia" w:eastAsiaTheme="minorEastAsia"/>
                <w:b/>
                <w:sz w:val="24"/>
              </w:rPr>
            </w:pPr>
            <w:r>
              <w:rPr>
                <w:rFonts w:asciiTheme="minorEastAsia" w:hAnsiTheme="minorEastAsia" w:eastAsiaTheme="minorEastAsia"/>
                <w:sz w:val="24"/>
                <w:u w:val="single"/>
              </w:rPr>
              <w:t xml:space="preserve">3 </w:t>
            </w:r>
            <w:r>
              <w:rPr>
                <w:rFonts w:hint="eastAsia" w:asciiTheme="minorEastAsia" w:hAnsiTheme="minorEastAsia" w:eastAsiaTheme="minorEastAsia"/>
                <w:sz w:val="24"/>
                <w:u w:val="single"/>
              </w:rPr>
              <w:t>因</w:t>
            </w:r>
            <w:r>
              <w:rPr>
                <w:rFonts w:asciiTheme="minorEastAsia" w:hAnsiTheme="minorEastAsia" w:eastAsiaTheme="minorEastAsia"/>
                <w:sz w:val="24"/>
                <w:u w:val="single"/>
              </w:rPr>
              <w:t>生活垃圾分类，</w:t>
            </w:r>
            <w:r>
              <w:rPr>
                <w:rFonts w:hint="eastAsia" w:asciiTheme="minorEastAsia" w:hAnsiTheme="minorEastAsia" w:eastAsiaTheme="minorEastAsia"/>
                <w:sz w:val="24"/>
                <w:u w:val="single"/>
              </w:rPr>
              <w:t>部分生活垃圾收运采用</w:t>
            </w:r>
            <w:r>
              <w:rPr>
                <w:rFonts w:asciiTheme="minorEastAsia" w:hAnsiTheme="minorEastAsia" w:eastAsiaTheme="minorEastAsia"/>
                <w:sz w:val="24"/>
                <w:u w:val="single"/>
              </w:rPr>
              <w:t>直运</w:t>
            </w:r>
            <w:r>
              <w:rPr>
                <w:rFonts w:hint="eastAsia" w:asciiTheme="minorEastAsia" w:hAnsiTheme="minorEastAsia" w:eastAsiaTheme="minorEastAsia"/>
                <w:sz w:val="24"/>
                <w:u w:val="single"/>
              </w:rPr>
              <w:t>模式的情况。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138" w:type="dxa"/>
          </w:tcPr>
          <w:p>
            <w:pPr>
              <w:pStyle w:val="39"/>
              <w:widowControl w:val="0"/>
              <w:spacing w:line="360" w:lineRule="auto"/>
              <w:jc w:val="both"/>
              <w:rPr>
                <w:rFonts w:asciiTheme="minorEastAsia" w:hAnsiTheme="minorEastAsia" w:eastAsiaTheme="minorEastAsia"/>
                <w:b/>
                <w:sz w:val="24"/>
                <w:szCs w:val="24"/>
              </w:rPr>
            </w:pPr>
          </w:p>
        </w:tc>
        <w:tc>
          <w:tcPr>
            <w:tcW w:w="4138" w:type="dxa"/>
          </w:tcPr>
          <w:p>
            <w:pPr>
              <w:pStyle w:val="40"/>
              <w:widowControl w:val="0"/>
              <w:spacing w:line="360" w:lineRule="auto"/>
              <w:ind w:firstLine="0" w:firstLineChars="0"/>
              <w:rPr>
                <w:rFonts w:asciiTheme="minorEastAsia" w:hAnsiTheme="minorEastAsia" w:eastAsiaTheme="minorEastAsia"/>
                <w:b/>
                <w:sz w:val="24"/>
                <w:szCs w:val="24"/>
              </w:rPr>
            </w:pPr>
            <w:r>
              <w:rPr>
                <w:rFonts w:hint="eastAsia" w:asciiTheme="minorEastAsia" w:hAnsiTheme="minorEastAsia" w:eastAsiaTheme="minorEastAsia"/>
                <w:b/>
                <w:sz w:val="24"/>
                <w:szCs w:val="24"/>
              </w:rPr>
              <w:t xml:space="preserve">5.1.3  </w:t>
            </w:r>
            <w:r>
              <w:rPr>
                <w:rFonts w:hint="eastAsia" w:asciiTheme="minorEastAsia" w:hAnsiTheme="minorEastAsia" w:eastAsiaTheme="minorEastAsia"/>
                <w:sz w:val="24"/>
                <w:szCs w:val="24"/>
                <w:u w:val="single"/>
              </w:rPr>
              <w:t>其他垃圾</w:t>
            </w:r>
            <w:r>
              <w:rPr>
                <w:rFonts w:hint="eastAsia" w:asciiTheme="minorEastAsia" w:hAnsiTheme="minorEastAsia" w:eastAsiaTheme="minorEastAsia"/>
                <w:sz w:val="24"/>
                <w:szCs w:val="24"/>
              </w:rPr>
              <w:t>宜采用压缩工艺，以提高收集和运输效率。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138" w:type="dxa"/>
          </w:tcPr>
          <w:p>
            <w:pPr>
              <w:pStyle w:val="39"/>
              <w:widowControl w:val="0"/>
              <w:spacing w:line="360" w:lineRule="auto"/>
              <w:jc w:val="both"/>
              <w:rPr>
                <w:rFonts w:asciiTheme="minorEastAsia" w:hAnsiTheme="minorEastAsia" w:eastAsiaTheme="minorEastAsia"/>
                <w:b/>
                <w:sz w:val="24"/>
                <w:szCs w:val="24"/>
              </w:rPr>
            </w:pPr>
            <w:r>
              <w:rPr>
                <w:rFonts w:asciiTheme="minorEastAsia" w:hAnsiTheme="minorEastAsia" w:eastAsiaTheme="minorEastAsia"/>
                <w:b/>
                <w:sz w:val="24"/>
                <w:szCs w:val="24"/>
              </w:rPr>
              <w:t>5.1.</w:t>
            </w:r>
            <w:r>
              <w:rPr>
                <w:rFonts w:hint="eastAsia" w:asciiTheme="minorEastAsia" w:hAnsiTheme="minorEastAsia" w:eastAsiaTheme="minorEastAsia"/>
                <w:b/>
                <w:sz w:val="24"/>
                <w:szCs w:val="24"/>
              </w:rPr>
              <w:t xml:space="preserve">4  </w:t>
            </w:r>
            <w:r>
              <w:rPr>
                <w:rFonts w:hint="eastAsia" w:asciiTheme="minorEastAsia" w:hAnsiTheme="minorEastAsia" w:eastAsiaTheme="minorEastAsia"/>
                <w:sz w:val="24"/>
                <w:szCs w:val="24"/>
              </w:rPr>
              <w:t>分类</w:t>
            </w:r>
            <w:r>
              <w:rPr>
                <w:rFonts w:hint="eastAsia" w:asciiTheme="minorEastAsia" w:hAnsiTheme="minorEastAsia" w:eastAsiaTheme="minorEastAsia"/>
                <w:sz w:val="24"/>
                <w:szCs w:val="24"/>
                <w:bdr w:val="single" w:color="auto" w:sz="4" w:space="0"/>
              </w:rPr>
              <w:t>垃圾</w:t>
            </w:r>
            <w:r>
              <w:rPr>
                <w:rFonts w:hint="eastAsia" w:asciiTheme="minorEastAsia" w:hAnsiTheme="minorEastAsia" w:eastAsiaTheme="minorEastAsia"/>
                <w:sz w:val="24"/>
                <w:szCs w:val="24"/>
              </w:rPr>
              <w:t>收集站，应设置分类收集的收集箱（桶），</w:t>
            </w:r>
            <w:r>
              <w:rPr>
                <w:rFonts w:hint="eastAsia" w:asciiTheme="minorEastAsia" w:hAnsiTheme="minorEastAsia" w:eastAsiaTheme="minorEastAsia"/>
                <w:sz w:val="24"/>
                <w:szCs w:val="24"/>
                <w:bdr w:val="single" w:color="auto" w:sz="4" w:space="0"/>
              </w:rPr>
              <w:t>可回收物可在站内进行简单分拣</w:t>
            </w:r>
            <w:r>
              <w:rPr>
                <w:rFonts w:hint="eastAsia" w:asciiTheme="minorEastAsia" w:hAnsiTheme="minorEastAsia" w:eastAsiaTheme="minorEastAsia"/>
                <w:sz w:val="24"/>
                <w:szCs w:val="24"/>
              </w:rPr>
              <w:t>。</w:t>
            </w:r>
          </w:p>
        </w:tc>
        <w:tc>
          <w:tcPr>
            <w:tcW w:w="4138" w:type="dxa"/>
          </w:tcPr>
          <w:p>
            <w:pPr>
              <w:pStyle w:val="40"/>
              <w:widowControl w:val="0"/>
              <w:adjustRightInd w:val="0"/>
              <w:snapToGrid w:val="0"/>
              <w:spacing w:line="360" w:lineRule="auto"/>
              <w:ind w:firstLine="0" w:firstLineChars="0"/>
              <w:rPr>
                <w:rFonts w:asciiTheme="minorEastAsia" w:hAnsiTheme="minorEastAsia" w:eastAsiaTheme="minorEastAsia"/>
                <w:b/>
                <w:sz w:val="24"/>
                <w:szCs w:val="24"/>
              </w:rPr>
            </w:pPr>
            <w:r>
              <w:rPr>
                <w:rFonts w:asciiTheme="minorEastAsia" w:hAnsiTheme="minorEastAsia" w:eastAsiaTheme="minorEastAsia"/>
                <w:b/>
                <w:sz w:val="24"/>
                <w:szCs w:val="24"/>
              </w:rPr>
              <w:t>5.1.</w:t>
            </w:r>
            <w:r>
              <w:rPr>
                <w:rFonts w:hint="eastAsia" w:asciiTheme="minorEastAsia" w:hAnsiTheme="minorEastAsia" w:eastAsiaTheme="minorEastAsia"/>
                <w:b/>
                <w:sz w:val="24"/>
                <w:szCs w:val="24"/>
              </w:rPr>
              <w:t xml:space="preserve">4  </w:t>
            </w:r>
            <w:r>
              <w:rPr>
                <w:rFonts w:hint="eastAsia" w:asciiTheme="minorEastAsia" w:hAnsiTheme="minorEastAsia" w:eastAsiaTheme="minorEastAsia"/>
                <w:sz w:val="24"/>
                <w:szCs w:val="24"/>
                <w:u w:val="single"/>
              </w:rPr>
              <w:t>生活垃圾</w:t>
            </w:r>
            <w:r>
              <w:rPr>
                <w:rFonts w:hint="eastAsia" w:asciiTheme="minorEastAsia" w:hAnsiTheme="minorEastAsia" w:eastAsiaTheme="minorEastAsia"/>
                <w:sz w:val="24"/>
                <w:szCs w:val="24"/>
              </w:rPr>
              <w:t>分类收集站，应设置分类收集的收集箱（桶），</w:t>
            </w:r>
            <w:r>
              <w:rPr>
                <w:rFonts w:hint="eastAsia" w:asciiTheme="minorEastAsia" w:hAnsiTheme="minorEastAsia" w:eastAsiaTheme="minorEastAsia"/>
                <w:sz w:val="24"/>
                <w:szCs w:val="24"/>
                <w:u w:val="single"/>
              </w:rPr>
              <w:t>预留进行分拣的</w:t>
            </w:r>
            <w:r>
              <w:rPr>
                <w:rFonts w:asciiTheme="minorEastAsia" w:hAnsiTheme="minorEastAsia" w:eastAsiaTheme="minorEastAsia"/>
                <w:sz w:val="24"/>
                <w:szCs w:val="24"/>
                <w:u w:val="single"/>
              </w:rPr>
              <w:t>操作空间</w:t>
            </w:r>
            <w:r>
              <w:rPr>
                <w:rFonts w:hint="eastAsia" w:asciiTheme="minorEastAsia" w:hAnsiTheme="minorEastAsia" w:eastAsiaTheme="minorEastAsia"/>
                <w:sz w:val="24"/>
                <w:szCs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138" w:type="dxa"/>
          </w:tcPr>
          <w:p>
            <w:pPr>
              <w:pStyle w:val="39"/>
              <w:widowControl w:val="0"/>
              <w:spacing w:line="360" w:lineRule="auto"/>
              <w:jc w:val="both"/>
              <w:rPr>
                <w:rFonts w:asciiTheme="minorEastAsia" w:hAnsiTheme="minorEastAsia" w:eastAsiaTheme="minorEastAsia"/>
                <w:b/>
                <w:sz w:val="24"/>
                <w:szCs w:val="24"/>
              </w:rPr>
            </w:pPr>
            <w:r>
              <w:rPr>
                <w:rFonts w:asciiTheme="minorEastAsia" w:hAnsiTheme="minorEastAsia" w:eastAsiaTheme="minorEastAsia"/>
                <w:b/>
                <w:sz w:val="24"/>
                <w:szCs w:val="24"/>
              </w:rPr>
              <w:t>5.2.1</w:t>
            </w:r>
            <w:r>
              <w:rPr>
                <w:rFonts w:hint="eastAsia" w:asciiTheme="minorEastAsia" w:hAnsiTheme="minorEastAsia" w:eastAsiaTheme="minorEastAsia"/>
                <w:b/>
                <w:sz w:val="24"/>
                <w:szCs w:val="24"/>
              </w:rPr>
              <w:t xml:space="preserve">  </w:t>
            </w:r>
            <w:r>
              <w:rPr>
                <w:rFonts w:hint="eastAsia" w:asciiTheme="minorEastAsia" w:hAnsiTheme="minorEastAsia" w:eastAsiaTheme="minorEastAsia"/>
                <w:sz w:val="24"/>
                <w:szCs w:val="24"/>
              </w:rPr>
              <w:t>收集站设备应包括受料装置、</w:t>
            </w:r>
            <w:r>
              <w:rPr>
                <w:rFonts w:hint="eastAsia" w:asciiTheme="minorEastAsia" w:hAnsiTheme="minorEastAsia" w:eastAsiaTheme="minorEastAsia"/>
                <w:sz w:val="24"/>
                <w:szCs w:val="24"/>
                <w:u w:val="single"/>
              </w:rPr>
              <w:t>垃圾</w:t>
            </w:r>
            <w:r>
              <w:rPr>
                <w:rFonts w:hint="eastAsia" w:asciiTheme="minorEastAsia" w:hAnsiTheme="minorEastAsia" w:eastAsiaTheme="minorEastAsia"/>
                <w:sz w:val="24"/>
                <w:szCs w:val="24"/>
              </w:rPr>
              <w:t>收集箱、压缩机、提升装置等。</w:t>
            </w:r>
            <w:r>
              <w:rPr>
                <w:rFonts w:hint="eastAsia" w:asciiTheme="minorEastAsia" w:hAnsiTheme="minorEastAsia" w:eastAsiaTheme="minorEastAsia"/>
                <w:sz w:val="24"/>
                <w:szCs w:val="24"/>
                <w:bdr w:val="single" w:color="auto" w:sz="4" w:space="0"/>
              </w:rPr>
              <w:t>有条件的</w:t>
            </w:r>
            <w:r>
              <w:rPr>
                <w:rFonts w:hint="eastAsia" w:asciiTheme="minorEastAsia" w:hAnsiTheme="minorEastAsia" w:eastAsiaTheme="minorEastAsia"/>
                <w:sz w:val="24"/>
                <w:szCs w:val="24"/>
              </w:rPr>
              <w:t>收集站宜配备垃圾称重</w:t>
            </w:r>
            <w:r>
              <w:rPr>
                <w:rFonts w:hint="eastAsia" w:asciiTheme="minorEastAsia" w:hAnsiTheme="minorEastAsia" w:eastAsiaTheme="minorEastAsia"/>
                <w:sz w:val="24"/>
                <w:szCs w:val="24"/>
                <w:u w:val="single"/>
              </w:rPr>
              <w:t>计量</w:t>
            </w:r>
            <w:r>
              <w:rPr>
                <w:rFonts w:hint="eastAsia" w:asciiTheme="minorEastAsia" w:hAnsiTheme="minorEastAsia" w:eastAsiaTheme="minorEastAsia"/>
                <w:sz w:val="24"/>
                <w:szCs w:val="24"/>
              </w:rPr>
              <w:t>系统。</w:t>
            </w:r>
          </w:p>
        </w:tc>
        <w:tc>
          <w:tcPr>
            <w:tcW w:w="4138" w:type="dxa"/>
          </w:tcPr>
          <w:p>
            <w:pPr>
              <w:pStyle w:val="40"/>
              <w:widowControl w:val="0"/>
              <w:adjustRightInd w:val="0"/>
              <w:snapToGrid w:val="0"/>
              <w:spacing w:line="360" w:lineRule="auto"/>
              <w:ind w:firstLine="0" w:firstLineChars="0"/>
              <w:rPr>
                <w:rFonts w:asciiTheme="minorEastAsia" w:hAnsiTheme="minorEastAsia" w:eastAsiaTheme="minorEastAsia"/>
                <w:b/>
                <w:sz w:val="24"/>
                <w:szCs w:val="24"/>
              </w:rPr>
            </w:pPr>
            <w:r>
              <w:rPr>
                <w:rFonts w:asciiTheme="minorEastAsia" w:hAnsiTheme="minorEastAsia" w:eastAsiaTheme="minorEastAsia"/>
                <w:b/>
                <w:sz w:val="24"/>
                <w:szCs w:val="24"/>
              </w:rPr>
              <w:t>5.2.1</w:t>
            </w:r>
            <w:r>
              <w:rPr>
                <w:rFonts w:hint="eastAsia" w:asciiTheme="minorEastAsia" w:hAnsiTheme="minorEastAsia" w:eastAsiaTheme="minorEastAsia"/>
                <w:b/>
                <w:sz w:val="24"/>
                <w:szCs w:val="24"/>
              </w:rPr>
              <w:t xml:space="preserve">  </w:t>
            </w:r>
            <w:r>
              <w:rPr>
                <w:rFonts w:hint="eastAsia" w:asciiTheme="minorEastAsia" w:hAnsiTheme="minorEastAsia" w:eastAsiaTheme="minorEastAsia"/>
                <w:sz w:val="24"/>
                <w:szCs w:val="24"/>
                <w:u w:val="single"/>
              </w:rPr>
              <w:t>压缩式</w:t>
            </w:r>
            <w:r>
              <w:rPr>
                <w:rFonts w:hint="eastAsia" w:asciiTheme="minorEastAsia" w:hAnsiTheme="minorEastAsia" w:eastAsiaTheme="minorEastAsia"/>
                <w:sz w:val="24"/>
                <w:szCs w:val="24"/>
              </w:rPr>
              <w:t>收集站设备应包括受料装置、</w:t>
            </w:r>
            <w:r>
              <w:rPr>
                <w:rFonts w:hint="eastAsia" w:asciiTheme="minorEastAsia" w:hAnsiTheme="minorEastAsia" w:eastAsiaTheme="minorEastAsia"/>
                <w:sz w:val="24"/>
                <w:szCs w:val="24"/>
                <w:u w:val="single"/>
              </w:rPr>
              <w:t>垃圾</w:t>
            </w:r>
            <w:r>
              <w:rPr>
                <w:rFonts w:hint="eastAsia" w:asciiTheme="minorEastAsia" w:hAnsiTheme="minorEastAsia" w:eastAsiaTheme="minorEastAsia"/>
                <w:sz w:val="24"/>
                <w:szCs w:val="24"/>
              </w:rPr>
              <w:t>收集箱、压缩机、提升装置等。收集站宜配备垃圾称重</w:t>
            </w:r>
            <w:r>
              <w:rPr>
                <w:rFonts w:hint="eastAsia" w:asciiTheme="minorEastAsia" w:hAnsiTheme="minorEastAsia" w:eastAsiaTheme="minorEastAsia"/>
                <w:sz w:val="24"/>
                <w:szCs w:val="24"/>
                <w:u w:val="single"/>
              </w:rPr>
              <w:t>计量</w:t>
            </w:r>
            <w:r>
              <w:rPr>
                <w:rFonts w:hint="eastAsia" w:asciiTheme="minorEastAsia" w:hAnsiTheme="minorEastAsia" w:eastAsiaTheme="minorEastAsia"/>
                <w:sz w:val="24"/>
                <w:szCs w:val="24"/>
              </w:rPr>
              <w:t>系统。</w:t>
            </w:r>
            <w:r>
              <w:rPr>
                <w:rFonts w:hint="eastAsia" w:asciiTheme="minorEastAsia" w:hAnsiTheme="minorEastAsia" w:eastAsiaTheme="minorEastAsia"/>
                <w:sz w:val="24"/>
                <w:szCs w:val="24"/>
                <w:u w:val="single"/>
              </w:rPr>
              <w:t>收集箱的对接口尺寸应与压缩机匹配完好，对接口宽度尺寸应为</w:t>
            </w:r>
            <w:r>
              <w:rPr>
                <w:rFonts w:asciiTheme="minorEastAsia" w:hAnsiTheme="minorEastAsia" w:eastAsiaTheme="minorEastAsia"/>
                <w:sz w:val="24"/>
                <w:szCs w:val="24"/>
                <w:u w:val="single"/>
              </w:rPr>
              <w:t>2000</w:t>
            </w:r>
            <w:r>
              <w:rPr>
                <w:rFonts w:hint="eastAsia" w:asciiTheme="minorEastAsia" w:hAnsiTheme="minorEastAsia" w:eastAsiaTheme="minorEastAsia"/>
                <w:sz w:val="24"/>
                <w:szCs w:val="24"/>
                <w:u w:val="single"/>
              </w:rPr>
              <w:t>±</w:t>
            </w:r>
            <w:r>
              <w:rPr>
                <w:rFonts w:asciiTheme="minorEastAsia" w:hAnsiTheme="minorEastAsia" w:eastAsiaTheme="minorEastAsia"/>
                <w:sz w:val="24"/>
                <w:szCs w:val="24"/>
                <w:u w:val="single"/>
              </w:rPr>
              <w:t>50mm</w:t>
            </w:r>
            <w:r>
              <w:rPr>
                <w:rFonts w:hint="eastAsia" w:asciiTheme="minorEastAsia" w:hAnsiTheme="minorEastAsia" w:eastAsiaTheme="minorEastAsia"/>
                <w:sz w:val="24"/>
                <w:szCs w:val="24"/>
                <w:u w:val="single"/>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138" w:type="dxa"/>
          </w:tcPr>
          <w:p>
            <w:pPr>
              <w:adjustRightInd w:val="0"/>
              <w:snapToGrid w:val="0"/>
              <w:spacing w:line="360" w:lineRule="auto"/>
              <w:rPr>
                <w:rFonts w:asciiTheme="minorEastAsia" w:hAnsiTheme="minorEastAsia" w:eastAsiaTheme="minorEastAsia"/>
                <w:sz w:val="24"/>
              </w:rPr>
            </w:pPr>
            <w:r>
              <w:rPr>
                <w:rFonts w:asciiTheme="minorEastAsia" w:hAnsiTheme="minorEastAsia" w:eastAsiaTheme="minorEastAsia"/>
                <w:b/>
                <w:sz w:val="24"/>
              </w:rPr>
              <w:t>5.2.</w:t>
            </w:r>
            <w:r>
              <w:rPr>
                <w:rFonts w:hint="eastAsia" w:asciiTheme="minorEastAsia" w:hAnsiTheme="minorEastAsia" w:eastAsiaTheme="minorEastAsia"/>
                <w:b/>
                <w:sz w:val="24"/>
              </w:rPr>
              <w:t xml:space="preserve">6  </w:t>
            </w:r>
            <w:r>
              <w:rPr>
                <w:rFonts w:hint="eastAsia" w:asciiTheme="minorEastAsia" w:hAnsiTheme="minorEastAsia" w:eastAsiaTheme="minorEastAsia"/>
                <w:sz w:val="24"/>
              </w:rPr>
              <w:t>收集箱应符合下列要求：</w:t>
            </w:r>
          </w:p>
          <w:p>
            <w:pPr>
              <w:pStyle w:val="39"/>
              <w:widowControl w:val="0"/>
              <w:spacing w:line="360" w:lineRule="auto"/>
              <w:jc w:val="both"/>
              <w:rPr>
                <w:rFonts w:asciiTheme="minorEastAsia" w:hAnsiTheme="minorEastAsia" w:eastAsiaTheme="minorEastAsia"/>
                <w:b/>
                <w:sz w:val="24"/>
                <w:szCs w:val="24"/>
              </w:rPr>
            </w:pPr>
            <w:r>
              <w:rPr>
                <w:rFonts w:hint="eastAsia" w:asciiTheme="minorEastAsia" w:hAnsiTheme="minorEastAsia" w:eastAsiaTheme="minorEastAsia"/>
                <w:b/>
                <w:sz w:val="24"/>
                <w:szCs w:val="24"/>
              </w:rPr>
              <w:t xml:space="preserve">1 </w:t>
            </w:r>
            <w:r>
              <w:rPr>
                <w:rFonts w:hint="eastAsia" w:asciiTheme="minorEastAsia" w:hAnsiTheme="minorEastAsia" w:eastAsiaTheme="minorEastAsia"/>
                <w:sz w:val="24"/>
                <w:szCs w:val="24"/>
              </w:rPr>
              <w:t>后门应配备锁紧装置，保证后门锁紧</w:t>
            </w:r>
            <w:r>
              <w:rPr>
                <w:rFonts w:hint="eastAsia" w:asciiTheme="minorEastAsia" w:hAnsiTheme="minorEastAsia" w:eastAsiaTheme="minorEastAsia"/>
                <w:sz w:val="24"/>
                <w:szCs w:val="24"/>
                <w:bdr w:val="single" w:color="auto" w:sz="4" w:space="0"/>
              </w:rPr>
              <w:t>严密</w:t>
            </w:r>
            <w:r>
              <w:rPr>
                <w:rFonts w:hint="eastAsia" w:asciiTheme="minorEastAsia" w:hAnsiTheme="minorEastAsia" w:eastAsiaTheme="minorEastAsia"/>
                <w:sz w:val="24"/>
                <w:szCs w:val="24"/>
              </w:rPr>
              <w:t>；</w:t>
            </w:r>
          </w:p>
        </w:tc>
        <w:tc>
          <w:tcPr>
            <w:tcW w:w="4138" w:type="dxa"/>
          </w:tcPr>
          <w:p>
            <w:pPr>
              <w:adjustRightInd w:val="0"/>
              <w:snapToGrid w:val="0"/>
              <w:spacing w:line="360" w:lineRule="auto"/>
              <w:rPr>
                <w:rFonts w:asciiTheme="minorEastAsia" w:hAnsiTheme="minorEastAsia" w:eastAsiaTheme="minorEastAsia"/>
                <w:sz w:val="24"/>
              </w:rPr>
            </w:pPr>
            <w:r>
              <w:rPr>
                <w:rFonts w:asciiTheme="minorEastAsia" w:hAnsiTheme="minorEastAsia" w:eastAsiaTheme="minorEastAsia"/>
                <w:b/>
                <w:sz w:val="24"/>
              </w:rPr>
              <w:t>5.2.</w:t>
            </w:r>
            <w:r>
              <w:rPr>
                <w:rFonts w:hint="eastAsia" w:asciiTheme="minorEastAsia" w:hAnsiTheme="minorEastAsia" w:eastAsiaTheme="minorEastAsia"/>
                <w:b/>
                <w:sz w:val="24"/>
              </w:rPr>
              <w:t xml:space="preserve">6  </w:t>
            </w:r>
            <w:r>
              <w:rPr>
                <w:rFonts w:hint="eastAsia" w:asciiTheme="minorEastAsia" w:hAnsiTheme="minorEastAsia" w:eastAsiaTheme="minorEastAsia"/>
                <w:sz w:val="24"/>
                <w:u w:val="single"/>
              </w:rPr>
              <w:t>垃圾</w:t>
            </w:r>
            <w:r>
              <w:rPr>
                <w:rFonts w:hint="eastAsia" w:asciiTheme="minorEastAsia" w:hAnsiTheme="minorEastAsia" w:eastAsiaTheme="minorEastAsia"/>
                <w:sz w:val="24"/>
              </w:rPr>
              <w:t>收集箱应符合下列要求：</w:t>
            </w:r>
          </w:p>
          <w:p>
            <w:pPr>
              <w:pStyle w:val="40"/>
              <w:widowControl w:val="0"/>
              <w:adjustRightInd w:val="0"/>
              <w:snapToGrid w:val="0"/>
              <w:spacing w:line="360" w:lineRule="auto"/>
              <w:ind w:firstLine="0" w:firstLineChars="0"/>
              <w:rPr>
                <w:rFonts w:asciiTheme="minorEastAsia" w:hAnsiTheme="minorEastAsia" w:eastAsiaTheme="minorEastAsia"/>
                <w:sz w:val="24"/>
                <w:szCs w:val="24"/>
              </w:rPr>
            </w:pPr>
            <w:r>
              <w:rPr>
                <w:rFonts w:hint="eastAsia" w:asciiTheme="minorEastAsia" w:hAnsiTheme="minorEastAsia" w:eastAsiaTheme="minorEastAsia"/>
                <w:b/>
                <w:sz w:val="24"/>
                <w:szCs w:val="24"/>
              </w:rPr>
              <w:t xml:space="preserve">1 </w:t>
            </w:r>
            <w:r>
              <w:rPr>
                <w:rFonts w:hint="eastAsia" w:asciiTheme="minorEastAsia" w:hAnsiTheme="minorEastAsia" w:eastAsiaTheme="minorEastAsia"/>
                <w:sz w:val="24"/>
                <w:szCs w:val="24"/>
              </w:rPr>
              <w:t>后门应配备锁紧装置，保证后门锁紧</w:t>
            </w:r>
            <w:r>
              <w:rPr>
                <w:rFonts w:hint="eastAsia" w:asciiTheme="minorEastAsia" w:hAnsiTheme="minorEastAsia" w:eastAsiaTheme="minorEastAsia"/>
                <w:sz w:val="24"/>
                <w:szCs w:val="24"/>
                <w:u w:val="single"/>
              </w:rPr>
              <w:t>密闭</w:t>
            </w:r>
            <w:r>
              <w:rPr>
                <w:rFonts w:hint="eastAsia" w:asciiTheme="minorEastAsia" w:hAnsiTheme="minorEastAsia" w:eastAsiaTheme="minorEastAsia"/>
                <w:sz w:val="24"/>
                <w:szCs w:val="24"/>
              </w:rPr>
              <w:t>；</w:t>
            </w:r>
          </w:p>
          <w:p>
            <w:pPr>
              <w:pStyle w:val="40"/>
              <w:widowControl w:val="0"/>
              <w:adjustRightInd w:val="0"/>
              <w:snapToGrid w:val="0"/>
              <w:spacing w:line="360" w:lineRule="auto"/>
              <w:ind w:firstLine="0" w:firstLineChars="0"/>
              <w:rPr>
                <w:rFonts w:asciiTheme="minorEastAsia" w:hAnsiTheme="minorEastAsia" w:eastAsiaTheme="minorEastAsia"/>
                <w:sz w:val="24"/>
                <w:szCs w:val="24"/>
                <w:u w:val="single"/>
              </w:rPr>
            </w:pPr>
            <w:r>
              <w:rPr>
                <w:rFonts w:hint="eastAsia" w:asciiTheme="minorEastAsia" w:hAnsiTheme="minorEastAsia" w:eastAsiaTheme="minorEastAsia"/>
                <w:sz w:val="24"/>
                <w:szCs w:val="24"/>
                <w:u w:val="single"/>
              </w:rPr>
              <w:t>4A 垃圾收集箱应配有安全措施，防止尾门开启，引起安全事故。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138" w:type="dxa"/>
          </w:tcPr>
          <w:p>
            <w:pPr>
              <w:adjustRightInd w:val="0"/>
              <w:snapToGrid w:val="0"/>
              <w:spacing w:line="360" w:lineRule="auto"/>
              <w:rPr>
                <w:rFonts w:asciiTheme="minorEastAsia" w:hAnsiTheme="minorEastAsia" w:eastAsiaTheme="minorEastAsia"/>
                <w:sz w:val="24"/>
              </w:rPr>
            </w:pPr>
            <w:r>
              <w:rPr>
                <w:rFonts w:asciiTheme="minorEastAsia" w:hAnsiTheme="minorEastAsia" w:eastAsiaTheme="minorEastAsia"/>
                <w:b/>
                <w:sz w:val="24"/>
              </w:rPr>
              <w:t>5.2.</w:t>
            </w:r>
            <w:r>
              <w:rPr>
                <w:rFonts w:hint="eastAsia" w:asciiTheme="minorEastAsia" w:hAnsiTheme="minorEastAsia" w:eastAsiaTheme="minorEastAsia"/>
                <w:b/>
                <w:sz w:val="24"/>
              </w:rPr>
              <w:t xml:space="preserve">7  </w:t>
            </w:r>
            <w:r>
              <w:rPr>
                <w:rFonts w:hint="eastAsia" w:asciiTheme="minorEastAsia" w:hAnsiTheme="minorEastAsia" w:eastAsiaTheme="minorEastAsia"/>
                <w:sz w:val="24"/>
              </w:rPr>
              <w:t>压缩机应符合下列要求：</w:t>
            </w:r>
          </w:p>
          <w:p>
            <w:pPr>
              <w:adjustRightInd w:val="0"/>
              <w:snapToGrid w:val="0"/>
              <w:spacing w:line="360" w:lineRule="auto"/>
              <w:rPr>
                <w:rFonts w:asciiTheme="minorEastAsia" w:hAnsiTheme="minorEastAsia" w:eastAsiaTheme="minorEastAsia"/>
                <w:sz w:val="24"/>
              </w:rPr>
            </w:pPr>
            <w:r>
              <w:rPr>
                <w:rFonts w:hint="eastAsia" w:asciiTheme="minorEastAsia" w:hAnsiTheme="minorEastAsia" w:eastAsiaTheme="minorEastAsia"/>
                <w:b/>
                <w:sz w:val="24"/>
              </w:rPr>
              <w:t xml:space="preserve">5 </w:t>
            </w:r>
            <w:r>
              <w:rPr>
                <w:rFonts w:hint="eastAsia" w:asciiTheme="minorEastAsia" w:hAnsiTheme="minorEastAsia" w:eastAsiaTheme="minorEastAsia"/>
                <w:sz w:val="24"/>
              </w:rPr>
              <w:t>电气系统应为防水设计，并应配备紧急停机控制</w:t>
            </w:r>
            <w:r>
              <w:rPr>
                <w:rFonts w:hint="eastAsia" w:asciiTheme="minorEastAsia" w:hAnsiTheme="minorEastAsia" w:eastAsiaTheme="minorEastAsia"/>
                <w:sz w:val="24"/>
                <w:bdr w:val="single" w:color="auto" w:sz="4" w:space="0"/>
              </w:rPr>
              <w:t>器</w:t>
            </w:r>
            <w:r>
              <w:rPr>
                <w:rFonts w:hint="eastAsia" w:asciiTheme="minorEastAsia" w:hAnsiTheme="minorEastAsia" w:eastAsiaTheme="minorEastAsia"/>
                <w:sz w:val="24"/>
              </w:rPr>
              <w:t>。</w:t>
            </w:r>
          </w:p>
          <w:p>
            <w:pPr>
              <w:adjustRightInd w:val="0"/>
              <w:snapToGrid w:val="0"/>
              <w:spacing w:line="360" w:lineRule="auto"/>
              <w:ind w:firstLine="482" w:firstLineChars="200"/>
              <w:rPr>
                <w:rFonts w:asciiTheme="minorEastAsia" w:hAnsiTheme="minorEastAsia" w:eastAsiaTheme="minorEastAsia"/>
                <w:b/>
                <w:sz w:val="24"/>
              </w:rPr>
            </w:pPr>
          </w:p>
        </w:tc>
        <w:tc>
          <w:tcPr>
            <w:tcW w:w="4138" w:type="dxa"/>
          </w:tcPr>
          <w:p>
            <w:pPr>
              <w:adjustRightInd w:val="0"/>
              <w:snapToGrid w:val="0"/>
              <w:spacing w:line="360" w:lineRule="auto"/>
              <w:rPr>
                <w:rFonts w:asciiTheme="minorEastAsia" w:hAnsiTheme="minorEastAsia" w:eastAsiaTheme="minorEastAsia"/>
                <w:sz w:val="24"/>
              </w:rPr>
            </w:pPr>
            <w:r>
              <w:rPr>
                <w:rFonts w:asciiTheme="minorEastAsia" w:hAnsiTheme="minorEastAsia" w:eastAsiaTheme="minorEastAsia"/>
                <w:b/>
                <w:sz w:val="24"/>
              </w:rPr>
              <w:t>5.2.</w:t>
            </w:r>
            <w:r>
              <w:rPr>
                <w:rFonts w:hint="eastAsia" w:asciiTheme="minorEastAsia" w:hAnsiTheme="minorEastAsia" w:eastAsiaTheme="minorEastAsia"/>
                <w:b/>
                <w:sz w:val="24"/>
              </w:rPr>
              <w:t xml:space="preserve">7  </w:t>
            </w:r>
            <w:r>
              <w:rPr>
                <w:rFonts w:hint="eastAsia" w:asciiTheme="minorEastAsia" w:hAnsiTheme="minorEastAsia" w:eastAsiaTheme="minorEastAsia"/>
                <w:sz w:val="24"/>
              </w:rPr>
              <w:t>压缩机应符合下列要求：</w:t>
            </w:r>
          </w:p>
          <w:p>
            <w:pPr>
              <w:adjustRightInd w:val="0"/>
              <w:snapToGrid w:val="0"/>
              <w:spacing w:line="360" w:lineRule="auto"/>
              <w:rPr>
                <w:rFonts w:asciiTheme="minorEastAsia" w:hAnsiTheme="minorEastAsia" w:eastAsiaTheme="minorEastAsia"/>
                <w:sz w:val="24"/>
              </w:rPr>
            </w:pPr>
            <w:r>
              <w:rPr>
                <w:rFonts w:hint="eastAsia" w:asciiTheme="minorEastAsia" w:hAnsiTheme="minorEastAsia" w:eastAsiaTheme="minorEastAsia"/>
                <w:b/>
                <w:sz w:val="24"/>
              </w:rPr>
              <w:t xml:space="preserve">5 </w:t>
            </w:r>
            <w:r>
              <w:rPr>
                <w:rFonts w:hint="eastAsia" w:asciiTheme="minorEastAsia" w:hAnsiTheme="minorEastAsia" w:eastAsiaTheme="minorEastAsia"/>
                <w:sz w:val="24"/>
              </w:rPr>
              <w:t>电气系统应为防水设计，</w:t>
            </w:r>
            <w:r>
              <w:rPr>
                <w:rFonts w:hint="eastAsia" w:asciiTheme="minorEastAsia" w:hAnsiTheme="minorEastAsia" w:eastAsiaTheme="minorEastAsia"/>
                <w:sz w:val="24"/>
                <w:u w:val="single"/>
              </w:rPr>
              <w:t>防护等级IP65，</w:t>
            </w:r>
            <w:r>
              <w:rPr>
                <w:rFonts w:hint="eastAsia" w:asciiTheme="minorEastAsia" w:hAnsiTheme="minorEastAsia" w:eastAsiaTheme="minorEastAsia"/>
                <w:sz w:val="24"/>
              </w:rPr>
              <w:t>并应配备紧急停机控制</w:t>
            </w:r>
            <w:r>
              <w:rPr>
                <w:rFonts w:hint="eastAsia" w:asciiTheme="minorEastAsia" w:hAnsiTheme="minorEastAsia" w:eastAsiaTheme="minorEastAsia"/>
                <w:sz w:val="24"/>
                <w:u w:val="single"/>
              </w:rPr>
              <w:t>装置</w:t>
            </w:r>
            <w:r>
              <w:rPr>
                <w:rFonts w:hint="eastAsia" w:asciiTheme="minorEastAsia" w:hAnsiTheme="minorEastAsia" w:eastAsiaTheme="minorEastAsia"/>
                <w:sz w:val="24"/>
              </w:rPr>
              <w:t>。</w:t>
            </w:r>
          </w:p>
          <w:p>
            <w:pPr>
              <w:adjustRightInd w:val="0"/>
              <w:snapToGrid w:val="0"/>
              <w:spacing w:line="360" w:lineRule="auto"/>
              <w:rPr>
                <w:rFonts w:asciiTheme="minorEastAsia" w:hAnsiTheme="minorEastAsia" w:eastAsiaTheme="minorEastAsia"/>
                <w:b/>
                <w:sz w:val="24"/>
              </w:rPr>
            </w:pPr>
            <w:r>
              <w:rPr>
                <w:rFonts w:hint="eastAsia" w:asciiTheme="minorEastAsia" w:hAnsiTheme="minorEastAsia" w:eastAsiaTheme="minorEastAsia"/>
                <w:b/>
                <w:sz w:val="24"/>
              </w:rPr>
              <w:t xml:space="preserve">5A </w:t>
            </w:r>
            <w:r>
              <w:rPr>
                <w:rFonts w:asciiTheme="minorEastAsia" w:hAnsiTheme="minorEastAsia" w:eastAsiaTheme="minorEastAsia"/>
                <w:sz w:val="24"/>
                <w:u w:val="single"/>
              </w:rPr>
              <w:t>设备两侧配置紧急制停按钮，如果配有遥控按钮盒，按钮盒需要配置急停按钮。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138" w:type="dxa"/>
          </w:tcPr>
          <w:p>
            <w:pPr>
              <w:adjustRightInd w:val="0"/>
              <w:snapToGrid w:val="0"/>
              <w:spacing w:line="360" w:lineRule="auto"/>
              <w:rPr>
                <w:rFonts w:ascii="宋体" w:hAnsi="宋体"/>
                <w:sz w:val="24"/>
              </w:rPr>
            </w:pPr>
            <w:r>
              <w:rPr>
                <w:b/>
                <w:sz w:val="24"/>
              </w:rPr>
              <w:t xml:space="preserve">5.3.2  </w:t>
            </w:r>
            <w:r>
              <w:rPr>
                <w:rFonts w:hint="eastAsia" w:ascii="宋体" w:hAnsi="宋体"/>
                <w:sz w:val="24"/>
              </w:rPr>
              <w:t>压缩机的主要技术参数应符合下列要求：</w:t>
            </w:r>
          </w:p>
          <w:p>
            <w:pPr>
              <w:adjustRightInd w:val="0"/>
              <w:snapToGrid w:val="0"/>
              <w:spacing w:line="360" w:lineRule="auto"/>
              <w:ind w:firstLine="482" w:firstLineChars="200"/>
              <w:rPr>
                <w:rFonts w:ascii="宋体" w:hAnsi="宋体"/>
                <w:sz w:val="24"/>
              </w:rPr>
            </w:pPr>
            <w:r>
              <w:rPr>
                <w:b/>
                <w:sz w:val="24"/>
              </w:rPr>
              <w:t>1</w:t>
            </w:r>
            <w:r>
              <w:rPr>
                <w:rFonts w:hint="eastAsia" w:ascii="宋体" w:hAnsi="宋体"/>
                <w:sz w:val="24"/>
              </w:rPr>
              <w:t>压实密度</w:t>
            </w:r>
            <w:r>
              <w:rPr>
                <w:rFonts w:hint="eastAsia" w:ascii="宋体" w:hAnsi="宋体"/>
                <w:sz w:val="24"/>
                <w:bdr w:val="single" w:color="auto" w:sz="4" w:space="0"/>
              </w:rPr>
              <w:t>不应小于0.3t/m</w:t>
            </w:r>
            <w:r>
              <w:rPr>
                <w:rFonts w:hint="eastAsia" w:ascii="宋体" w:hAnsi="宋体"/>
                <w:sz w:val="24"/>
                <w:bdr w:val="single" w:color="auto" w:sz="4" w:space="0"/>
                <w:vertAlign w:val="superscript"/>
              </w:rPr>
              <w:t>3</w:t>
            </w:r>
            <w:r>
              <w:rPr>
                <w:rFonts w:hint="eastAsia" w:ascii="宋体" w:hAnsi="宋体"/>
                <w:sz w:val="24"/>
              </w:rPr>
              <w:t>；</w:t>
            </w:r>
          </w:p>
          <w:p>
            <w:pPr>
              <w:adjustRightInd w:val="0"/>
              <w:snapToGrid w:val="0"/>
              <w:spacing w:line="360" w:lineRule="auto"/>
              <w:ind w:firstLine="482" w:firstLineChars="200"/>
              <w:rPr>
                <w:rFonts w:ascii="宋体" w:hAnsi="宋体"/>
                <w:sz w:val="24"/>
              </w:rPr>
            </w:pPr>
            <w:r>
              <w:rPr>
                <w:b/>
                <w:sz w:val="24"/>
              </w:rPr>
              <w:t xml:space="preserve">2 </w:t>
            </w:r>
            <w:r>
              <w:rPr>
                <w:rFonts w:hint="eastAsia" w:ascii="宋体" w:hAnsi="宋体"/>
                <w:sz w:val="24"/>
              </w:rPr>
              <w:t>压填循环时间不应大于50s；</w:t>
            </w:r>
          </w:p>
          <w:p>
            <w:pPr>
              <w:adjustRightInd w:val="0"/>
              <w:snapToGrid w:val="0"/>
              <w:spacing w:line="360" w:lineRule="auto"/>
              <w:ind w:firstLine="482" w:firstLineChars="200"/>
              <w:rPr>
                <w:rFonts w:ascii="宋体" w:hAnsi="宋体"/>
                <w:sz w:val="24"/>
              </w:rPr>
            </w:pPr>
            <w:r>
              <w:rPr>
                <w:b/>
                <w:sz w:val="24"/>
              </w:rPr>
              <w:t xml:space="preserve">3 </w:t>
            </w:r>
            <w:r>
              <w:rPr>
                <w:rFonts w:hint="eastAsia" w:ascii="宋体" w:hAnsi="宋体"/>
                <w:sz w:val="24"/>
              </w:rPr>
              <w:t>宜选用低噪声设备。</w:t>
            </w:r>
          </w:p>
          <w:p>
            <w:pPr>
              <w:adjustRightInd w:val="0"/>
              <w:snapToGrid w:val="0"/>
              <w:spacing w:line="360" w:lineRule="auto"/>
              <w:rPr>
                <w:rFonts w:asciiTheme="minorEastAsia" w:hAnsiTheme="minorEastAsia" w:eastAsiaTheme="minorEastAsia"/>
                <w:b/>
                <w:sz w:val="24"/>
              </w:rPr>
            </w:pPr>
          </w:p>
        </w:tc>
        <w:tc>
          <w:tcPr>
            <w:tcW w:w="4138" w:type="dxa"/>
          </w:tcPr>
          <w:p>
            <w:pPr>
              <w:adjustRightInd w:val="0"/>
              <w:snapToGrid w:val="0"/>
              <w:spacing w:line="360" w:lineRule="auto"/>
              <w:rPr>
                <w:rFonts w:asciiTheme="minorEastAsia" w:hAnsiTheme="minorEastAsia" w:eastAsiaTheme="minorEastAsia"/>
                <w:sz w:val="24"/>
              </w:rPr>
            </w:pPr>
            <w:r>
              <w:rPr>
                <w:rFonts w:hint="eastAsia" w:asciiTheme="minorEastAsia" w:hAnsiTheme="minorEastAsia" w:eastAsiaTheme="minorEastAsia"/>
                <w:b/>
                <w:sz w:val="24"/>
              </w:rPr>
              <w:t>5</w:t>
            </w:r>
            <w:r>
              <w:rPr>
                <w:rFonts w:asciiTheme="minorEastAsia" w:hAnsiTheme="minorEastAsia" w:eastAsiaTheme="minorEastAsia"/>
                <w:b/>
                <w:sz w:val="24"/>
              </w:rPr>
              <w:t>.</w:t>
            </w:r>
            <w:r>
              <w:rPr>
                <w:rFonts w:hint="eastAsia" w:asciiTheme="minorEastAsia" w:hAnsiTheme="minorEastAsia" w:eastAsiaTheme="minorEastAsia"/>
                <w:b/>
                <w:sz w:val="24"/>
              </w:rPr>
              <w:t>3</w:t>
            </w:r>
            <w:r>
              <w:rPr>
                <w:rFonts w:asciiTheme="minorEastAsia" w:hAnsiTheme="minorEastAsia" w:eastAsiaTheme="minorEastAsia"/>
                <w:b/>
                <w:sz w:val="24"/>
              </w:rPr>
              <w:t>.</w:t>
            </w:r>
            <w:r>
              <w:rPr>
                <w:rFonts w:hint="eastAsia" w:asciiTheme="minorEastAsia" w:hAnsiTheme="minorEastAsia" w:eastAsiaTheme="minorEastAsia"/>
                <w:b/>
                <w:sz w:val="24"/>
              </w:rPr>
              <w:t>2</w:t>
            </w:r>
            <w:r>
              <w:rPr>
                <w:rFonts w:asciiTheme="minorEastAsia" w:hAnsiTheme="minorEastAsia" w:eastAsiaTheme="minorEastAsia"/>
                <w:b/>
                <w:sz w:val="24"/>
              </w:rPr>
              <w:t xml:space="preserve">  </w:t>
            </w:r>
            <w:r>
              <w:rPr>
                <w:rFonts w:hint="eastAsia" w:asciiTheme="minorEastAsia" w:hAnsiTheme="minorEastAsia" w:eastAsiaTheme="minorEastAsia"/>
                <w:sz w:val="24"/>
              </w:rPr>
              <w:t>压缩机的主要技术参数应符合下列要求：</w:t>
            </w:r>
          </w:p>
          <w:p>
            <w:pPr>
              <w:adjustRightInd w:val="0"/>
              <w:snapToGrid w:val="0"/>
              <w:spacing w:line="360" w:lineRule="auto"/>
              <w:rPr>
                <w:rFonts w:asciiTheme="minorEastAsia" w:hAnsiTheme="minorEastAsia" w:eastAsiaTheme="minorEastAsia"/>
                <w:sz w:val="24"/>
              </w:rPr>
            </w:pPr>
            <w:r>
              <w:rPr>
                <w:rFonts w:hint="eastAsia" w:asciiTheme="minorEastAsia" w:hAnsiTheme="minorEastAsia" w:eastAsiaTheme="minorEastAsia"/>
                <w:b/>
                <w:sz w:val="24"/>
              </w:rPr>
              <w:t xml:space="preserve">1 </w:t>
            </w:r>
            <w:r>
              <w:rPr>
                <w:rFonts w:hint="eastAsia" w:asciiTheme="minorEastAsia" w:hAnsiTheme="minorEastAsia" w:eastAsiaTheme="minorEastAsia"/>
                <w:sz w:val="24"/>
                <w:u w:val="single"/>
              </w:rPr>
              <w:t>其他垃圾</w:t>
            </w:r>
            <w:r>
              <w:rPr>
                <w:rFonts w:hint="eastAsia" w:asciiTheme="minorEastAsia" w:hAnsiTheme="minorEastAsia" w:eastAsiaTheme="minorEastAsia"/>
                <w:sz w:val="24"/>
              </w:rPr>
              <w:t>压实密度</w:t>
            </w:r>
            <w:r>
              <w:rPr>
                <w:rFonts w:hint="eastAsia" w:asciiTheme="minorEastAsia" w:hAnsiTheme="minorEastAsia" w:eastAsiaTheme="minorEastAsia"/>
                <w:sz w:val="24"/>
                <w:u w:val="single"/>
              </w:rPr>
              <w:t>应为0.</w:t>
            </w:r>
            <w:r>
              <w:rPr>
                <w:rFonts w:asciiTheme="minorEastAsia" w:hAnsiTheme="minorEastAsia" w:eastAsiaTheme="minorEastAsia"/>
                <w:sz w:val="24"/>
                <w:u w:val="single"/>
              </w:rPr>
              <w:t>5</w:t>
            </w:r>
            <w:r>
              <w:rPr>
                <w:rFonts w:hint="eastAsia" w:asciiTheme="minorEastAsia" w:hAnsiTheme="minorEastAsia" w:eastAsiaTheme="minorEastAsia"/>
                <w:sz w:val="24"/>
                <w:u w:val="single"/>
              </w:rPr>
              <w:t>t/m</w:t>
            </w:r>
            <w:r>
              <w:rPr>
                <w:rFonts w:hint="eastAsia" w:asciiTheme="minorEastAsia" w:hAnsiTheme="minorEastAsia" w:eastAsiaTheme="minorEastAsia"/>
                <w:sz w:val="24"/>
                <w:u w:val="single"/>
                <w:vertAlign w:val="superscript"/>
              </w:rPr>
              <w:t>3</w:t>
            </w:r>
            <w:r>
              <w:rPr>
                <w:rFonts w:hint="eastAsia" w:ascii="宋体" w:hAnsi="宋体"/>
                <w:sz w:val="24"/>
                <w:u w:val="single"/>
              </w:rPr>
              <w:t>～0</w:t>
            </w:r>
            <w:r>
              <w:rPr>
                <w:rFonts w:ascii="宋体" w:hAnsi="宋体"/>
                <w:sz w:val="24"/>
                <w:u w:val="single"/>
              </w:rPr>
              <w:t>.8</w:t>
            </w:r>
            <w:r>
              <w:rPr>
                <w:rFonts w:hint="eastAsia" w:ascii="宋体" w:hAnsi="宋体"/>
                <w:sz w:val="24"/>
                <w:u w:val="single"/>
              </w:rPr>
              <w:t>t/m</w:t>
            </w:r>
            <w:r>
              <w:rPr>
                <w:rFonts w:hint="eastAsia" w:ascii="宋体" w:hAnsi="宋体"/>
                <w:sz w:val="24"/>
                <w:u w:val="single"/>
                <w:vertAlign w:val="superscript"/>
              </w:rPr>
              <w:t>3</w:t>
            </w:r>
            <w:r>
              <w:rPr>
                <w:rFonts w:hint="eastAsia" w:asciiTheme="minorEastAsia" w:hAnsiTheme="minorEastAsia" w:eastAsiaTheme="minorEastAsia"/>
                <w:sz w:val="24"/>
                <w:u w:val="single"/>
              </w:rPr>
              <w:t>，厨余垃圾压实密度应为0.</w:t>
            </w:r>
            <w:r>
              <w:rPr>
                <w:rFonts w:asciiTheme="minorEastAsia" w:hAnsiTheme="minorEastAsia" w:eastAsiaTheme="minorEastAsia"/>
                <w:sz w:val="24"/>
                <w:u w:val="single"/>
              </w:rPr>
              <w:t>9</w:t>
            </w:r>
            <w:r>
              <w:rPr>
                <w:rFonts w:hint="eastAsia" w:asciiTheme="minorEastAsia" w:hAnsiTheme="minorEastAsia" w:eastAsiaTheme="minorEastAsia"/>
                <w:sz w:val="24"/>
                <w:u w:val="single"/>
              </w:rPr>
              <w:t>t/m</w:t>
            </w:r>
            <w:r>
              <w:rPr>
                <w:rFonts w:hint="eastAsia" w:asciiTheme="minorEastAsia" w:hAnsiTheme="minorEastAsia" w:eastAsiaTheme="minorEastAsia"/>
                <w:sz w:val="24"/>
                <w:u w:val="single"/>
                <w:vertAlign w:val="superscript"/>
              </w:rPr>
              <w:t>3</w:t>
            </w:r>
            <w:r>
              <w:rPr>
                <w:rFonts w:hint="eastAsia" w:ascii="宋体" w:hAnsi="宋体"/>
                <w:sz w:val="24"/>
                <w:u w:val="single"/>
              </w:rPr>
              <w:t>～</w:t>
            </w:r>
            <w:r>
              <w:rPr>
                <w:rFonts w:ascii="宋体" w:hAnsi="宋体"/>
                <w:sz w:val="24"/>
                <w:u w:val="single"/>
              </w:rPr>
              <w:t>1.2</w:t>
            </w:r>
            <w:r>
              <w:rPr>
                <w:rFonts w:hint="eastAsia" w:ascii="宋体" w:hAnsi="宋体"/>
                <w:sz w:val="24"/>
                <w:u w:val="single"/>
              </w:rPr>
              <w:t>t/m</w:t>
            </w:r>
            <w:r>
              <w:rPr>
                <w:rFonts w:hint="eastAsia" w:ascii="宋体" w:hAnsi="宋体"/>
                <w:sz w:val="24"/>
                <w:u w:val="single"/>
                <w:vertAlign w:val="superscript"/>
              </w:rPr>
              <w:t>3</w:t>
            </w:r>
            <w:r>
              <w:rPr>
                <w:rFonts w:hint="eastAsia" w:asciiTheme="minorEastAsia" w:hAnsiTheme="minorEastAsia" w:eastAsiaTheme="minorEastAsia"/>
                <w:sz w:val="24"/>
              </w:rPr>
              <w:t>；</w:t>
            </w:r>
          </w:p>
          <w:p>
            <w:pPr>
              <w:adjustRightInd w:val="0"/>
              <w:snapToGrid w:val="0"/>
              <w:spacing w:line="360" w:lineRule="auto"/>
              <w:rPr>
                <w:rFonts w:asciiTheme="minorEastAsia" w:hAnsiTheme="minorEastAsia" w:eastAsiaTheme="minorEastAsia"/>
                <w:sz w:val="24"/>
              </w:rPr>
            </w:pPr>
            <w:r>
              <w:rPr>
                <w:rFonts w:hint="eastAsia" w:asciiTheme="minorEastAsia" w:hAnsiTheme="minorEastAsia" w:eastAsiaTheme="minorEastAsia"/>
                <w:b/>
                <w:sz w:val="24"/>
              </w:rPr>
              <w:t xml:space="preserve">2 </w:t>
            </w:r>
            <w:r>
              <w:rPr>
                <w:rFonts w:hint="eastAsia" w:asciiTheme="minorEastAsia" w:hAnsiTheme="minorEastAsia" w:eastAsiaTheme="minorEastAsia"/>
                <w:sz w:val="24"/>
              </w:rPr>
              <w:t>压填循环时间不应大于50s；</w:t>
            </w:r>
          </w:p>
          <w:p>
            <w:pPr>
              <w:adjustRightInd w:val="0"/>
              <w:snapToGrid w:val="0"/>
              <w:spacing w:line="360" w:lineRule="auto"/>
              <w:rPr>
                <w:rFonts w:asciiTheme="minorEastAsia" w:hAnsiTheme="minorEastAsia" w:eastAsiaTheme="minorEastAsia"/>
                <w:b/>
                <w:sz w:val="24"/>
              </w:rPr>
            </w:pPr>
            <w:r>
              <w:rPr>
                <w:rFonts w:hint="eastAsia" w:asciiTheme="minorEastAsia" w:hAnsiTheme="minorEastAsia" w:eastAsiaTheme="minorEastAsia"/>
                <w:b/>
                <w:sz w:val="24"/>
              </w:rPr>
              <w:t xml:space="preserve">3 </w:t>
            </w:r>
            <w:r>
              <w:rPr>
                <w:rFonts w:hint="eastAsia" w:asciiTheme="minorEastAsia" w:hAnsiTheme="minorEastAsia" w:eastAsiaTheme="minorEastAsia"/>
                <w:sz w:val="24"/>
              </w:rPr>
              <w:t>宜选用低噪声设备</w:t>
            </w:r>
            <w:r>
              <w:rPr>
                <w:rFonts w:hint="eastAsia" w:asciiTheme="minorEastAsia" w:hAnsiTheme="minorEastAsia" w:eastAsiaTheme="minorEastAsia"/>
                <w:sz w:val="24"/>
                <w:u w:val="single"/>
              </w:rPr>
              <w:t>，距离设备3m，噪音值不大于75dB</w:t>
            </w:r>
            <w:r>
              <w:rPr>
                <w:rFonts w:hint="eastAsia" w:asciiTheme="minorEastAsia" w:hAnsiTheme="minorEastAsia" w:eastAsiaTheme="minorEastAsia"/>
                <w:sz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138" w:type="dxa"/>
          </w:tcPr>
          <w:p>
            <w:pPr>
              <w:adjustRightInd w:val="0"/>
              <w:snapToGrid w:val="0"/>
              <w:spacing w:line="360" w:lineRule="auto"/>
              <w:rPr>
                <w:rFonts w:asciiTheme="minorEastAsia" w:hAnsiTheme="minorEastAsia" w:eastAsiaTheme="minorEastAsia"/>
                <w:sz w:val="24"/>
              </w:rPr>
            </w:pPr>
            <w:r>
              <w:rPr>
                <w:rFonts w:hint="eastAsia" w:asciiTheme="minorEastAsia" w:hAnsiTheme="minorEastAsia" w:eastAsiaTheme="minorEastAsia"/>
                <w:b/>
                <w:sz w:val="24"/>
              </w:rPr>
              <w:t>5</w:t>
            </w:r>
            <w:r>
              <w:rPr>
                <w:rFonts w:asciiTheme="minorEastAsia" w:hAnsiTheme="minorEastAsia" w:eastAsiaTheme="minorEastAsia"/>
                <w:b/>
                <w:sz w:val="24"/>
              </w:rPr>
              <w:t>.</w:t>
            </w:r>
            <w:r>
              <w:rPr>
                <w:rFonts w:hint="eastAsia" w:asciiTheme="minorEastAsia" w:hAnsiTheme="minorEastAsia" w:eastAsiaTheme="minorEastAsia"/>
                <w:b/>
                <w:sz w:val="24"/>
              </w:rPr>
              <w:t>3</w:t>
            </w:r>
            <w:r>
              <w:rPr>
                <w:rFonts w:asciiTheme="minorEastAsia" w:hAnsiTheme="minorEastAsia" w:eastAsiaTheme="minorEastAsia"/>
                <w:b/>
                <w:sz w:val="24"/>
              </w:rPr>
              <w:t>.</w:t>
            </w:r>
            <w:r>
              <w:rPr>
                <w:rFonts w:hint="eastAsia" w:asciiTheme="minorEastAsia" w:hAnsiTheme="minorEastAsia" w:eastAsiaTheme="minorEastAsia"/>
                <w:b/>
                <w:sz w:val="24"/>
              </w:rPr>
              <w:t xml:space="preserve">3  </w:t>
            </w:r>
            <w:r>
              <w:rPr>
                <w:rFonts w:hint="eastAsia" w:asciiTheme="minorEastAsia" w:hAnsiTheme="minorEastAsia" w:eastAsiaTheme="minorEastAsia"/>
                <w:sz w:val="24"/>
              </w:rPr>
              <w:t>收集箱的主要技术参数应：</w:t>
            </w:r>
          </w:p>
          <w:p>
            <w:pPr>
              <w:adjustRightInd w:val="0"/>
              <w:snapToGrid w:val="0"/>
              <w:spacing w:line="360" w:lineRule="auto"/>
              <w:ind w:firstLine="482" w:firstLineChars="200"/>
              <w:rPr>
                <w:rFonts w:asciiTheme="minorEastAsia" w:hAnsiTheme="minorEastAsia" w:eastAsiaTheme="minorEastAsia"/>
                <w:sz w:val="24"/>
              </w:rPr>
            </w:pPr>
            <w:r>
              <w:rPr>
                <w:rFonts w:asciiTheme="minorEastAsia" w:hAnsiTheme="minorEastAsia" w:eastAsiaTheme="minorEastAsia"/>
                <w:b/>
                <w:sz w:val="24"/>
              </w:rPr>
              <w:t>1</w:t>
            </w:r>
            <w:r>
              <w:rPr>
                <w:rFonts w:hint="eastAsia" w:asciiTheme="minorEastAsia" w:hAnsiTheme="minorEastAsia" w:eastAsiaTheme="minorEastAsia"/>
                <w:b/>
                <w:sz w:val="24"/>
              </w:rPr>
              <w:t xml:space="preserve"> </w:t>
            </w:r>
            <w:r>
              <w:rPr>
                <w:rFonts w:asciiTheme="minorEastAsia" w:hAnsiTheme="minorEastAsia" w:eastAsiaTheme="minorEastAsia"/>
                <w:sz w:val="24"/>
              </w:rPr>
              <w:t>箱体容积不应小于5m</w:t>
            </w:r>
            <w:r>
              <w:rPr>
                <w:rFonts w:asciiTheme="minorEastAsia" w:hAnsiTheme="minorEastAsia" w:eastAsiaTheme="minorEastAsia"/>
                <w:sz w:val="24"/>
                <w:vertAlign w:val="superscript"/>
              </w:rPr>
              <w:t>3</w:t>
            </w:r>
            <w:r>
              <w:rPr>
                <w:rFonts w:asciiTheme="minorEastAsia" w:hAnsiTheme="minorEastAsia" w:eastAsiaTheme="minorEastAsia"/>
                <w:sz w:val="24"/>
              </w:rPr>
              <w:t>;</w:t>
            </w:r>
          </w:p>
          <w:p>
            <w:pPr>
              <w:adjustRightInd w:val="0"/>
              <w:snapToGrid w:val="0"/>
              <w:spacing w:line="360" w:lineRule="auto"/>
              <w:rPr>
                <w:rFonts w:asciiTheme="minorEastAsia" w:hAnsiTheme="minorEastAsia" w:eastAsiaTheme="minorEastAsia"/>
                <w:b/>
                <w:sz w:val="24"/>
              </w:rPr>
            </w:pPr>
            <w:r>
              <w:rPr>
                <w:rFonts w:hint="eastAsia" w:asciiTheme="minorEastAsia" w:hAnsiTheme="minorEastAsia" w:eastAsiaTheme="minorEastAsia"/>
                <w:b/>
                <w:sz w:val="24"/>
              </w:rPr>
              <w:t xml:space="preserve">2 </w:t>
            </w:r>
            <w:r>
              <w:rPr>
                <w:rFonts w:hint="eastAsia" w:asciiTheme="minorEastAsia" w:hAnsiTheme="minorEastAsia" w:eastAsiaTheme="minorEastAsia"/>
                <w:sz w:val="24"/>
              </w:rPr>
              <w:t>密封性能：密封部位应做水密试验，</w:t>
            </w:r>
            <w:r>
              <w:rPr>
                <w:rFonts w:hint="eastAsia" w:asciiTheme="minorEastAsia" w:hAnsiTheme="minorEastAsia" w:eastAsiaTheme="minorEastAsia"/>
                <w:sz w:val="24"/>
                <w:bdr w:val="single" w:color="auto" w:sz="4" w:space="0"/>
              </w:rPr>
              <w:t>30min</w:t>
            </w:r>
            <w:r>
              <w:rPr>
                <w:rFonts w:hint="eastAsia" w:asciiTheme="minorEastAsia" w:hAnsiTheme="minorEastAsia" w:eastAsiaTheme="minorEastAsia"/>
                <w:sz w:val="24"/>
              </w:rPr>
              <w:t>内不得有渗漏，</w:t>
            </w:r>
            <w:r>
              <w:rPr>
                <w:rFonts w:asciiTheme="minorEastAsia" w:hAnsiTheme="minorEastAsia" w:eastAsiaTheme="minorEastAsia"/>
                <w:sz w:val="24"/>
              </w:rPr>
              <w:t>且密封条正常使用寿命不应小于6个月</w:t>
            </w:r>
            <w:r>
              <w:rPr>
                <w:rFonts w:hint="eastAsia" w:asciiTheme="minorEastAsia" w:hAnsiTheme="minorEastAsia" w:eastAsiaTheme="minorEastAsia"/>
                <w:sz w:val="24"/>
              </w:rPr>
              <w:t>；</w:t>
            </w:r>
          </w:p>
        </w:tc>
        <w:tc>
          <w:tcPr>
            <w:tcW w:w="4138" w:type="dxa"/>
          </w:tcPr>
          <w:p>
            <w:pPr>
              <w:adjustRightInd w:val="0"/>
              <w:snapToGrid w:val="0"/>
              <w:spacing w:line="360" w:lineRule="auto"/>
              <w:rPr>
                <w:rFonts w:asciiTheme="minorEastAsia" w:hAnsiTheme="minorEastAsia" w:eastAsiaTheme="minorEastAsia"/>
                <w:sz w:val="24"/>
              </w:rPr>
            </w:pPr>
            <w:r>
              <w:rPr>
                <w:rFonts w:hint="eastAsia" w:asciiTheme="minorEastAsia" w:hAnsiTheme="minorEastAsia" w:eastAsiaTheme="minorEastAsia"/>
                <w:b/>
                <w:sz w:val="24"/>
              </w:rPr>
              <w:t>5</w:t>
            </w:r>
            <w:r>
              <w:rPr>
                <w:rFonts w:asciiTheme="minorEastAsia" w:hAnsiTheme="minorEastAsia" w:eastAsiaTheme="minorEastAsia"/>
                <w:b/>
                <w:sz w:val="24"/>
              </w:rPr>
              <w:t>.</w:t>
            </w:r>
            <w:r>
              <w:rPr>
                <w:rFonts w:hint="eastAsia" w:asciiTheme="minorEastAsia" w:hAnsiTheme="minorEastAsia" w:eastAsiaTheme="minorEastAsia"/>
                <w:b/>
                <w:sz w:val="24"/>
              </w:rPr>
              <w:t>3</w:t>
            </w:r>
            <w:r>
              <w:rPr>
                <w:rFonts w:asciiTheme="minorEastAsia" w:hAnsiTheme="minorEastAsia" w:eastAsiaTheme="minorEastAsia"/>
                <w:b/>
                <w:sz w:val="24"/>
              </w:rPr>
              <w:t>.</w:t>
            </w:r>
            <w:r>
              <w:rPr>
                <w:rFonts w:hint="eastAsia" w:asciiTheme="minorEastAsia" w:hAnsiTheme="minorEastAsia" w:eastAsiaTheme="minorEastAsia"/>
                <w:b/>
                <w:sz w:val="24"/>
              </w:rPr>
              <w:t xml:space="preserve">3  </w:t>
            </w:r>
            <w:r>
              <w:rPr>
                <w:rFonts w:hint="eastAsia" w:asciiTheme="minorEastAsia" w:hAnsiTheme="minorEastAsia" w:eastAsiaTheme="minorEastAsia"/>
                <w:sz w:val="24"/>
                <w:u w:val="single"/>
              </w:rPr>
              <w:t>垃圾</w:t>
            </w:r>
            <w:r>
              <w:rPr>
                <w:rFonts w:hint="eastAsia" w:asciiTheme="minorEastAsia" w:hAnsiTheme="minorEastAsia" w:eastAsiaTheme="minorEastAsia"/>
                <w:sz w:val="24"/>
              </w:rPr>
              <w:t>收集箱的主要技术参数应：</w:t>
            </w:r>
          </w:p>
          <w:p>
            <w:pPr>
              <w:adjustRightInd w:val="0"/>
              <w:snapToGrid w:val="0"/>
              <w:spacing w:line="360" w:lineRule="auto"/>
              <w:rPr>
                <w:rFonts w:asciiTheme="minorEastAsia" w:hAnsiTheme="minorEastAsia" w:eastAsiaTheme="minorEastAsia"/>
                <w:sz w:val="24"/>
              </w:rPr>
            </w:pPr>
            <w:r>
              <w:rPr>
                <w:rFonts w:asciiTheme="minorEastAsia" w:hAnsiTheme="minorEastAsia" w:eastAsiaTheme="minorEastAsia"/>
                <w:b/>
                <w:sz w:val="24"/>
              </w:rPr>
              <w:t>1</w:t>
            </w:r>
            <w:r>
              <w:rPr>
                <w:rFonts w:hint="eastAsia" w:asciiTheme="minorEastAsia" w:hAnsiTheme="minorEastAsia" w:eastAsiaTheme="minorEastAsia"/>
                <w:b/>
                <w:sz w:val="24"/>
              </w:rPr>
              <w:t xml:space="preserve"> </w:t>
            </w:r>
            <w:r>
              <w:rPr>
                <w:rFonts w:asciiTheme="minorEastAsia" w:hAnsiTheme="minorEastAsia" w:eastAsiaTheme="minorEastAsia"/>
                <w:sz w:val="24"/>
              </w:rPr>
              <w:t>箱体容积不应小于5m</w:t>
            </w:r>
            <w:r>
              <w:rPr>
                <w:rFonts w:asciiTheme="minorEastAsia" w:hAnsiTheme="minorEastAsia" w:eastAsiaTheme="minorEastAsia"/>
                <w:sz w:val="24"/>
                <w:vertAlign w:val="superscript"/>
              </w:rPr>
              <w:t>3</w:t>
            </w:r>
            <w:r>
              <w:rPr>
                <w:rFonts w:hint="eastAsia" w:asciiTheme="minorEastAsia" w:hAnsiTheme="minorEastAsia" w:eastAsiaTheme="minorEastAsia"/>
                <w:sz w:val="24"/>
              </w:rPr>
              <w:t>；</w:t>
            </w:r>
          </w:p>
          <w:p>
            <w:pPr>
              <w:adjustRightInd w:val="0"/>
              <w:snapToGrid w:val="0"/>
              <w:spacing w:line="360" w:lineRule="auto"/>
              <w:rPr>
                <w:rFonts w:asciiTheme="minorEastAsia" w:hAnsiTheme="minorEastAsia" w:eastAsiaTheme="minorEastAsia"/>
                <w:b/>
                <w:sz w:val="24"/>
              </w:rPr>
            </w:pPr>
            <w:r>
              <w:rPr>
                <w:rFonts w:hint="eastAsia" w:asciiTheme="minorEastAsia" w:hAnsiTheme="minorEastAsia" w:eastAsiaTheme="minorEastAsia"/>
                <w:b/>
                <w:sz w:val="24"/>
              </w:rPr>
              <w:t xml:space="preserve">2 </w:t>
            </w:r>
            <w:r>
              <w:rPr>
                <w:rFonts w:hint="eastAsia" w:asciiTheme="minorEastAsia" w:hAnsiTheme="minorEastAsia" w:eastAsiaTheme="minorEastAsia"/>
                <w:sz w:val="24"/>
              </w:rPr>
              <w:t>密封性能：密封部位应做水密试验，</w:t>
            </w:r>
            <w:r>
              <w:rPr>
                <w:rFonts w:hint="eastAsia" w:asciiTheme="minorEastAsia" w:hAnsiTheme="minorEastAsia" w:eastAsiaTheme="minorEastAsia"/>
                <w:sz w:val="24"/>
                <w:u w:val="single"/>
              </w:rPr>
              <w:t>水深不小于30cm，2h</w:t>
            </w:r>
            <w:r>
              <w:rPr>
                <w:rFonts w:hint="eastAsia" w:asciiTheme="minorEastAsia" w:hAnsiTheme="minorEastAsia" w:eastAsiaTheme="minorEastAsia"/>
                <w:sz w:val="24"/>
              </w:rPr>
              <w:t>内不得有渗漏，</w:t>
            </w:r>
            <w:r>
              <w:rPr>
                <w:rFonts w:asciiTheme="minorEastAsia" w:hAnsiTheme="minorEastAsia" w:eastAsiaTheme="minorEastAsia"/>
                <w:sz w:val="24"/>
              </w:rPr>
              <w:t>且密封条正常使用寿命不应小于6个月</w:t>
            </w:r>
            <w:r>
              <w:rPr>
                <w:rFonts w:hint="eastAsia" w:asciiTheme="minorEastAsia" w:hAnsiTheme="minorEastAsia" w:eastAsiaTheme="minorEastAsia"/>
                <w:sz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138" w:type="dxa"/>
          </w:tcPr>
          <w:p>
            <w:pPr>
              <w:adjustRightInd w:val="0"/>
              <w:snapToGrid w:val="0"/>
              <w:spacing w:line="360" w:lineRule="auto"/>
              <w:rPr>
                <w:rFonts w:asciiTheme="minorEastAsia" w:hAnsiTheme="minorEastAsia" w:eastAsiaTheme="minorEastAsia"/>
                <w:b/>
                <w:sz w:val="24"/>
              </w:rPr>
            </w:pPr>
            <w:r>
              <w:rPr>
                <w:rFonts w:hint="eastAsia" w:asciiTheme="minorEastAsia" w:hAnsiTheme="minorEastAsia" w:eastAsiaTheme="minorEastAsia"/>
                <w:b/>
                <w:sz w:val="24"/>
              </w:rPr>
              <w:t>7</w:t>
            </w:r>
            <w:r>
              <w:rPr>
                <w:rFonts w:asciiTheme="minorEastAsia" w:hAnsiTheme="minorEastAsia" w:eastAsiaTheme="minorEastAsia"/>
                <w:b/>
                <w:sz w:val="24"/>
              </w:rPr>
              <w:t>.1.</w:t>
            </w:r>
            <w:r>
              <w:rPr>
                <w:rFonts w:hint="eastAsia" w:asciiTheme="minorEastAsia" w:hAnsiTheme="minorEastAsia" w:eastAsiaTheme="minorEastAsia"/>
                <w:b/>
                <w:sz w:val="24"/>
              </w:rPr>
              <w:t>3</w:t>
            </w:r>
            <w:r>
              <w:rPr>
                <w:rFonts w:asciiTheme="minorEastAsia" w:hAnsiTheme="minorEastAsia" w:eastAsiaTheme="minorEastAsia"/>
                <w:sz w:val="24"/>
              </w:rPr>
              <w:t xml:space="preserve">  </w:t>
            </w:r>
            <w:r>
              <w:rPr>
                <w:rFonts w:hint="eastAsia" w:asciiTheme="minorEastAsia" w:hAnsiTheme="minorEastAsia" w:eastAsiaTheme="minorEastAsia"/>
                <w:sz w:val="24"/>
              </w:rPr>
              <w:t>除尘除臭效果应符合现行国家标准</w:t>
            </w:r>
            <w:r>
              <w:rPr>
                <w:rFonts w:hint="eastAsia" w:asciiTheme="minorEastAsia" w:hAnsiTheme="minorEastAsia" w:eastAsiaTheme="minorEastAsia"/>
                <w:sz w:val="24"/>
                <w:bdr w:val="single" w:color="auto" w:sz="4" w:space="0"/>
              </w:rPr>
              <w:t>《环境空气质量标准》GB3095、</w:t>
            </w:r>
            <w:r>
              <w:rPr>
                <w:rFonts w:hint="eastAsia" w:asciiTheme="minorEastAsia" w:hAnsiTheme="minorEastAsia" w:eastAsiaTheme="minorEastAsia"/>
                <w:sz w:val="24"/>
              </w:rPr>
              <w:t>《恶臭污染排放标准》GB14554</w:t>
            </w:r>
            <w:r>
              <w:rPr>
                <w:rFonts w:hint="eastAsia" w:asciiTheme="minorEastAsia" w:hAnsiTheme="minorEastAsia" w:eastAsiaTheme="minorEastAsia"/>
                <w:sz w:val="24"/>
                <w:bdr w:val="single" w:color="auto" w:sz="4" w:space="0"/>
                <w:lang w:val="zh-CN"/>
              </w:rPr>
              <w:t>等有关标准规定</w:t>
            </w:r>
            <w:r>
              <w:rPr>
                <w:rFonts w:hint="eastAsia" w:asciiTheme="minorEastAsia" w:hAnsiTheme="minorEastAsia" w:eastAsiaTheme="minorEastAsia"/>
                <w:sz w:val="24"/>
              </w:rPr>
              <w:t>。</w:t>
            </w:r>
            <w:r>
              <w:rPr>
                <w:rFonts w:hint="eastAsia" w:asciiTheme="minorEastAsia" w:hAnsiTheme="minorEastAsia" w:eastAsiaTheme="minorEastAsia"/>
                <w:sz w:val="24"/>
                <w:bdr w:val="single" w:color="auto" w:sz="4" w:space="0"/>
                <w:lang w:val="zh-CN"/>
              </w:rPr>
              <w:t>收集站除尘除臭标准宜符合表</w:t>
            </w:r>
            <w:r>
              <w:rPr>
                <w:rFonts w:asciiTheme="minorEastAsia" w:hAnsiTheme="minorEastAsia" w:eastAsiaTheme="minorEastAsia"/>
                <w:sz w:val="24"/>
                <w:bdr w:val="single" w:color="auto" w:sz="4" w:space="0"/>
              </w:rPr>
              <w:t>7</w:t>
            </w:r>
            <w:r>
              <w:rPr>
                <w:rFonts w:hint="eastAsia" w:asciiTheme="minorEastAsia" w:hAnsiTheme="minorEastAsia" w:eastAsiaTheme="minorEastAsia"/>
                <w:sz w:val="24"/>
                <w:bdr w:val="single" w:color="auto" w:sz="4" w:space="0"/>
                <w:lang w:val="zh-CN"/>
              </w:rPr>
              <w:t>.1.3规定的数值。</w:t>
            </w:r>
          </w:p>
        </w:tc>
        <w:tc>
          <w:tcPr>
            <w:tcW w:w="4138" w:type="dxa"/>
          </w:tcPr>
          <w:p>
            <w:pPr>
              <w:adjustRightInd w:val="0"/>
              <w:snapToGrid w:val="0"/>
              <w:spacing w:line="360" w:lineRule="auto"/>
              <w:rPr>
                <w:rFonts w:asciiTheme="minorEastAsia" w:hAnsiTheme="minorEastAsia" w:eastAsiaTheme="minorEastAsia"/>
                <w:sz w:val="24"/>
              </w:rPr>
            </w:pPr>
            <w:r>
              <w:rPr>
                <w:rFonts w:hint="eastAsia" w:asciiTheme="minorEastAsia" w:hAnsiTheme="minorEastAsia" w:eastAsiaTheme="minorEastAsia"/>
                <w:b/>
                <w:sz w:val="24"/>
              </w:rPr>
              <w:t>7</w:t>
            </w:r>
            <w:r>
              <w:rPr>
                <w:rFonts w:asciiTheme="minorEastAsia" w:hAnsiTheme="minorEastAsia" w:eastAsiaTheme="minorEastAsia"/>
                <w:b/>
                <w:sz w:val="24"/>
              </w:rPr>
              <w:t>.1.</w:t>
            </w:r>
            <w:r>
              <w:rPr>
                <w:rFonts w:hint="eastAsia" w:asciiTheme="minorEastAsia" w:hAnsiTheme="minorEastAsia" w:eastAsiaTheme="minorEastAsia"/>
                <w:b/>
                <w:sz w:val="24"/>
              </w:rPr>
              <w:t>3</w:t>
            </w:r>
            <w:r>
              <w:rPr>
                <w:rFonts w:asciiTheme="minorEastAsia" w:hAnsiTheme="minorEastAsia" w:eastAsiaTheme="minorEastAsia"/>
                <w:sz w:val="24"/>
              </w:rPr>
              <w:t xml:space="preserve">  </w:t>
            </w:r>
            <w:r>
              <w:rPr>
                <w:rFonts w:hint="eastAsia" w:asciiTheme="minorEastAsia" w:hAnsiTheme="minorEastAsia" w:eastAsiaTheme="minorEastAsia"/>
                <w:sz w:val="24"/>
              </w:rPr>
              <w:t>收集站臭气控制和除臭工程应符合现行行业标准《城镇环境卫生设施除臭技术标准》CJJ</w:t>
            </w:r>
            <w:r>
              <w:rPr>
                <w:rFonts w:asciiTheme="minorEastAsia" w:hAnsiTheme="minorEastAsia" w:eastAsiaTheme="minorEastAsia"/>
                <w:sz w:val="24"/>
              </w:rPr>
              <w:t>274</w:t>
            </w:r>
            <w:r>
              <w:rPr>
                <w:rFonts w:hint="eastAsia" w:asciiTheme="minorEastAsia" w:hAnsiTheme="minorEastAsia" w:eastAsiaTheme="minorEastAsia"/>
                <w:sz w:val="24"/>
              </w:rPr>
              <w:t>的相关要求。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138" w:type="dxa"/>
          </w:tcPr>
          <w:p>
            <w:pPr>
              <w:adjustRightInd w:val="0"/>
              <w:snapToGrid w:val="0"/>
              <w:spacing w:line="360" w:lineRule="auto"/>
              <w:jc w:val="center"/>
              <w:rPr>
                <w:rFonts w:asciiTheme="minorEastAsia" w:hAnsiTheme="minorEastAsia" w:eastAsiaTheme="minorEastAsia"/>
                <w:sz w:val="15"/>
                <w:szCs w:val="15"/>
                <w:bdr w:val="single" w:color="auto" w:sz="4" w:space="0"/>
                <w:lang w:val="zh-CN"/>
              </w:rPr>
            </w:pPr>
            <w:r>
              <w:rPr>
                <w:rFonts w:hint="eastAsia" w:asciiTheme="minorEastAsia" w:hAnsiTheme="minorEastAsia" w:eastAsiaTheme="minorEastAsia"/>
                <w:sz w:val="15"/>
                <w:szCs w:val="15"/>
                <w:bdr w:val="single" w:color="auto" w:sz="4" w:space="0"/>
                <w:lang w:val="zh-CN"/>
              </w:rPr>
              <w:t>表</w:t>
            </w:r>
            <w:r>
              <w:rPr>
                <w:rFonts w:hint="eastAsia" w:asciiTheme="minorEastAsia" w:hAnsiTheme="minorEastAsia" w:eastAsiaTheme="minorEastAsia"/>
                <w:sz w:val="15"/>
                <w:szCs w:val="15"/>
                <w:bdr w:val="single" w:color="auto" w:sz="4" w:space="0"/>
              </w:rPr>
              <w:t>7</w:t>
            </w:r>
            <w:r>
              <w:rPr>
                <w:rFonts w:hint="eastAsia" w:asciiTheme="minorEastAsia" w:hAnsiTheme="minorEastAsia" w:eastAsiaTheme="minorEastAsia"/>
                <w:sz w:val="15"/>
                <w:szCs w:val="15"/>
                <w:bdr w:val="single" w:color="auto" w:sz="4" w:space="0"/>
                <w:lang w:val="zh-CN"/>
              </w:rPr>
              <w:t>.1.3收集站除尘除臭标准</w:t>
            </w:r>
          </w:p>
          <w:tbl>
            <w:tblPr>
              <w:tblStyle w:val="17"/>
              <w:tblW w:w="5000" w:type="pct"/>
              <w:jc w:val="center"/>
              <w:tblLayout w:type="autofit"/>
              <w:tblCellMar>
                <w:top w:w="0" w:type="dxa"/>
                <w:left w:w="10" w:type="dxa"/>
                <w:bottom w:w="0" w:type="dxa"/>
                <w:right w:w="10" w:type="dxa"/>
              </w:tblCellMar>
            </w:tblPr>
            <w:tblGrid>
              <w:gridCol w:w="2145"/>
              <w:gridCol w:w="995"/>
              <w:gridCol w:w="782"/>
            </w:tblGrid>
            <w:tr>
              <w:tblPrEx>
                <w:tblCellMar>
                  <w:top w:w="0" w:type="dxa"/>
                  <w:left w:w="10" w:type="dxa"/>
                  <w:bottom w:w="0" w:type="dxa"/>
                  <w:right w:w="10" w:type="dxa"/>
                </w:tblCellMar>
              </w:tblPrEx>
              <w:trPr>
                <w:trHeight w:val="355" w:hRule="exact"/>
                <w:jc w:val="center"/>
              </w:trPr>
              <w:tc>
                <w:tcPr>
                  <w:tcW w:w="2735" w:type="pct"/>
                  <w:vMerge w:val="restart"/>
                  <w:tcBorders>
                    <w:top w:val="single" w:color="auto" w:sz="4" w:space="0"/>
                    <w:left w:val="single" w:color="auto" w:sz="4" w:space="0"/>
                  </w:tcBorders>
                  <w:shd w:val="clear" w:color="auto" w:fill="FFFFFF"/>
                  <w:vAlign w:val="center"/>
                </w:tcPr>
                <w:p>
                  <w:pPr>
                    <w:spacing w:line="360" w:lineRule="auto"/>
                    <w:ind w:right="20"/>
                    <w:jc w:val="center"/>
                    <w:rPr>
                      <w:rFonts w:ascii="宋体" w:hAnsi="宋体" w:cs="宋体"/>
                      <w:spacing w:val="20"/>
                      <w:kern w:val="0"/>
                      <w:sz w:val="15"/>
                      <w:szCs w:val="15"/>
                      <w:lang w:val="zh-CN" w:bidi="zh-CN"/>
                    </w:rPr>
                  </w:pPr>
                  <w:r>
                    <w:rPr>
                      <w:rFonts w:ascii="宋体" w:hAnsi="宋体" w:cs="宋体"/>
                      <w:spacing w:val="70"/>
                      <w:w w:val="120"/>
                      <w:kern w:val="0"/>
                      <w:sz w:val="15"/>
                      <w:szCs w:val="15"/>
                      <w:bdr w:val="single" w:color="auto" w:sz="4" w:space="0"/>
                      <w:lang w:val="zh-CN" w:bidi="zh-CN"/>
                    </w:rPr>
                    <w:t>污染物项目</w:t>
                  </w:r>
                </w:p>
              </w:tc>
              <w:tc>
                <w:tcPr>
                  <w:tcW w:w="2265" w:type="pct"/>
                  <w:gridSpan w:val="2"/>
                  <w:tcBorders>
                    <w:top w:val="single" w:color="auto" w:sz="4" w:space="0"/>
                    <w:left w:val="single" w:color="auto" w:sz="4" w:space="0"/>
                    <w:right w:val="single" w:color="auto" w:sz="4" w:space="0"/>
                  </w:tcBorders>
                  <w:shd w:val="clear" w:color="auto" w:fill="FFFFFF"/>
                  <w:vAlign w:val="center"/>
                </w:tcPr>
                <w:p>
                  <w:pPr>
                    <w:tabs>
                      <w:tab w:val="left" w:pos="2657"/>
                    </w:tabs>
                    <w:jc w:val="center"/>
                    <w:rPr>
                      <w:rFonts w:ascii="宋体" w:hAnsi="宋体" w:cs="宋体"/>
                      <w:spacing w:val="20"/>
                      <w:kern w:val="0"/>
                      <w:sz w:val="15"/>
                      <w:szCs w:val="15"/>
                      <w:bdr w:val="single" w:color="auto" w:sz="4" w:space="0"/>
                      <w:lang w:val="zh-CN" w:bidi="zh-CN"/>
                    </w:rPr>
                  </w:pPr>
                  <w:r>
                    <w:rPr>
                      <w:rFonts w:ascii="宋体" w:hAnsi="宋体" w:cs="宋体"/>
                      <w:spacing w:val="70"/>
                      <w:w w:val="120"/>
                      <w:kern w:val="0"/>
                      <w:sz w:val="15"/>
                      <w:szCs w:val="15"/>
                      <w:bdr w:val="single" w:color="auto" w:sz="4" w:space="0"/>
                      <w:lang w:val="zh-CN" w:bidi="zh-CN"/>
                    </w:rPr>
                    <w:t>限值</w:t>
                  </w:r>
                </w:p>
              </w:tc>
            </w:tr>
            <w:tr>
              <w:tblPrEx>
                <w:tblCellMar>
                  <w:top w:w="0" w:type="dxa"/>
                  <w:left w:w="10" w:type="dxa"/>
                  <w:bottom w:w="0" w:type="dxa"/>
                  <w:right w:w="10" w:type="dxa"/>
                </w:tblCellMar>
              </w:tblPrEx>
              <w:trPr>
                <w:trHeight w:val="431" w:hRule="exact"/>
                <w:jc w:val="center"/>
              </w:trPr>
              <w:tc>
                <w:tcPr>
                  <w:tcW w:w="2735" w:type="pct"/>
                  <w:vMerge w:val="continue"/>
                  <w:tcBorders>
                    <w:left w:val="single" w:color="auto" w:sz="4" w:space="0"/>
                  </w:tcBorders>
                  <w:shd w:val="clear" w:color="auto" w:fill="FFFFFF"/>
                  <w:vAlign w:val="center"/>
                </w:tcPr>
                <w:p>
                  <w:pPr>
                    <w:spacing w:line="360" w:lineRule="auto"/>
                    <w:jc w:val="center"/>
                    <w:rPr>
                      <w:rFonts w:ascii="宋体" w:hAnsi="宋体"/>
                      <w:kern w:val="0"/>
                      <w:sz w:val="15"/>
                      <w:szCs w:val="15"/>
                      <w:lang w:val="zh-CN" w:bidi="zh-CN"/>
                    </w:rPr>
                  </w:pPr>
                </w:p>
              </w:tc>
              <w:tc>
                <w:tcPr>
                  <w:tcW w:w="1269" w:type="pct"/>
                  <w:tcBorders>
                    <w:top w:val="single" w:color="auto" w:sz="4" w:space="0"/>
                    <w:left w:val="single" w:color="auto" w:sz="4" w:space="0"/>
                  </w:tcBorders>
                  <w:shd w:val="clear" w:color="auto" w:fill="FFFFFF"/>
                  <w:vAlign w:val="center"/>
                </w:tcPr>
                <w:p>
                  <w:pPr>
                    <w:ind w:right="20"/>
                    <w:jc w:val="center"/>
                    <w:rPr>
                      <w:rFonts w:ascii="宋体" w:hAnsi="宋体" w:cs="宋体"/>
                      <w:spacing w:val="20"/>
                      <w:kern w:val="0"/>
                      <w:sz w:val="15"/>
                      <w:szCs w:val="15"/>
                      <w:bdr w:val="single" w:color="auto" w:sz="4" w:space="0"/>
                      <w:lang w:val="zh-CN" w:bidi="zh-CN"/>
                    </w:rPr>
                  </w:pPr>
                  <w:r>
                    <w:rPr>
                      <w:rFonts w:ascii="宋体" w:hAnsi="宋体" w:cs="宋体"/>
                      <w:spacing w:val="70"/>
                      <w:w w:val="120"/>
                      <w:kern w:val="0"/>
                      <w:sz w:val="15"/>
                      <w:szCs w:val="15"/>
                      <w:bdr w:val="single" w:color="auto" w:sz="4" w:space="0"/>
                      <w:lang w:val="zh-CN" w:bidi="zh-CN"/>
                    </w:rPr>
                    <w:t>室外</w:t>
                  </w:r>
                </w:p>
              </w:tc>
              <w:tc>
                <w:tcPr>
                  <w:tcW w:w="996" w:type="pct"/>
                  <w:tcBorders>
                    <w:top w:val="single" w:color="auto" w:sz="4" w:space="0"/>
                    <w:left w:val="single" w:color="auto" w:sz="4" w:space="0"/>
                    <w:right w:val="single" w:color="auto" w:sz="4" w:space="0"/>
                  </w:tcBorders>
                  <w:shd w:val="clear" w:color="auto" w:fill="FFFFFF"/>
                  <w:vAlign w:val="center"/>
                </w:tcPr>
                <w:p>
                  <w:pPr>
                    <w:ind w:left="20"/>
                    <w:jc w:val="center"/>
                    <w:rPr>
                      <w:rFonts w:ascii="宋体" w:hAnsi="宋体" w:cs="宋体"/>
                      <w:spacing w:val="20"/>
                      <w:kern w:val="0"/>
                      <w:sz w:val="15"/>
                      <w:szCs w:val="15"/>
                      <w:bdr w:val="single" w:color="auto" w:sz="4" w:space="0"/>
                      <w:lang w:val="zh-CN" w:bidi="zh-CN"/>
                    </w:rPr>
                  </w:pPr>
                  <w:r>
                    <w:rPr>
                      <w:rFonts w:ascii="宋体" w:hAnsi="宋体" w:cs="宋体"/>
                      <w:spacing w:val="70"/>
                      <w:w w:val="120"/>
                      <w:kern w:val="0"/>
                      <w:sz w:val="15"/>
                      <w:szCs w:val="15"/>
                      <w:bdr w:val="single" w:color="auto" w:sz="4" w:space="0"/>
                      <w:lang w:val="zh-CN" w:bidi="zh-CN"/>
                    </w:rPr>
                    <w:t>室内</w:t>
                  </w:r>
                </w:p>
              </w:tc>
            </w:tr>
            <w:tr>
              <w:tblPrEx>
                <w:tblCellMar>
                  <w:top w:w="0" w:type="dxa"/>
                  <w:left w:w="10" w:type="dxa"/>
                  <w:bottom w:w="0" w:type="dxa"/>
                  <w:right w:w="10" w:type="dxa"/>
                </w:tblCellMar>
              </w:tblPrEx>
              <w:trPr>
                <w:trHeight w:val="434" w:hRule="exact"/>
                <w:jc w:val="center"/>
              </w:trPr>
              <w:tc>
                <w:tcPr>
                  <w:tcW w:w="2735" w:type="pct"/>
                  <w:tcBorders>
                    <w:top w:val="single" w:color="auto" w:sz="4" w:space="0"/>
                    <w:left w:val="single" w:color="auto" w:sz="4" w:space="0"/>
                  </w:tcBorders>
                  <w:shd w:val="clear" w:color="auto" w:fill="FFFFFF"/>
                  <w:vAlign w:val="center"/>
                </w:tcPr>
                <w:p>
                  <w:pPr>
                    <w:spacing w:line="360" w:lineRule="auto"/>
                    <w:ind w:right="20"/>
                    <w:jc w:val="center"/>
                    <w:rPr>
                      <w:rFonts w:ascii="宋体" w:hAnsi="宋体" w:cs="宋体"/>
                      <w:spacing w:val="20"/>
                      <w:kern w:val="0"/>
                      <w:sz w:val="15"/>
                      <w:szCs w:val="15"/>
                      <w:lang w:val="zh-CN" w:bidi="zh-CN"/>
                    </w:rPr>
                  </w:pPr>
                  <w:r>
                    <w:rPr>
                      <w:rFonts w:ascii="宋体" w:hAnsi="宋体" w:cs="宋体"/>
                      <w:w w:val="120"/>
                      <w:kern w:val="0"/>
                      <w:sz w:val="15"/>
                      <w:szCs w:val="15"/>
                      <w:bdr w:val="single" w:color="auto" w:sz="4" w:space="0"/>
                      <w:lang w:val="zh-CN" w:bidi="zh-CN"/>
                    </w:rPr>
                    <w:t>硫化氢</w:t>
                  </w:r>
                  <w:r>
                    <w:rPr>
                      <w:rFonts w:ascii="宋体" w:hAnsi="宋体" w:cs="宋体"/>
                      <w:w w:val="120"/>
                      <w:kern w:val="0"/>
                      <w:sz w:val="15"/>
                      <w:szCs w:val="15"/>
                      <w:bdr w:val="single" w:color="auto" w:sz="4" w:space="0"/>
                      <w:lang w:eastAsia="en-US" w:bidi="en-US"/>
                    </w:rPr>
                    <w:t>（</w:t>
                  </w:r>
                  <w:r>
                    <w:rPr>
                      <w:rFonts w:ascii="宋体" w:hAnsi="宋体"/>
                      <w:bCs/>
                      <w:kern w:val="0"/>
                      <w:sz w:val="15"/>
                      <w:szCs w:val="15"/>
                      <w:bdr w:val="single" w:color="auto" w:sz="4" w:space="0"/>
                      <w:lang w:eastAsia="en-US" w:bidi="en-US"/>
                    </w:rPr>
                    <w:t>mg</w:t>
                  </w:r>
                  <w:r>
                    <w:rPr>
                      <w:rFonts w:ascii="宋体" w:hAnsi="宋体" w:cs="宋体"/>
                      <w:w w:val="120"/>
                      <w:kern w:val="0"/>
                      <w:sz w:val="15"/>
                      <w:szCs w:val="15"/>
                      <w:bdr w:val="single" w:color="auto" w:sz="4" w:space="0"/>
                      <w:lang w:eastAsia="en-US" w:bidi="en-US"/>
                    </w:rPr>
                    <w:t>/</w:t>
                  </w:r>
                  <w:r>
                    <w:rPr>
                      <w:rFonts w:ascii="宋体" w:hAnsi="宋体"/>
                      <w:bCs/>
                      <w:kern w:val="0"/>
                      <w:sz w:val="15"/>
                      <w:szCs w:val="15"/>
                      <w:bdr w:val="single" w:color="auto" w:sz="4" w:space="0"/>
                      <w:lang w:eastAsia="en-US" w:bidi="en-US"/>
                    </w:rPr>
                    <w:t>m</w:t>
                  </w:r>
                  <w:r>
                    <w:rPr>
                      <w:rFonts w:ascii="宋体" w:hAnsi="宋体" w:cs="宋体"/>
                      <w:w w:val="120"/>
                      <w:kern w:val="0"/>
                      <w:sz w:val="15"/>
                      <w:szCs w:val="15"/>
                      <w:bdr w:val="single" w:color="auto" w:sz="4" w:space="0"/>
                      <w:vertAlign w:val="superscript"/>
                      <w:lang w:eastAsia="en-US" w:bidi="en-US"/>
                    </w:rPr>
                    <w:t>3</w:t>
                  </w:r>
                  <w:r>
                    <w:rPr>
                      <w:rFonts w:ascii="宋体" w:hAnsi="宋体" w:cs="宋体"/>
                      <w:w w:val="120"/>
                      <w:kern w:val="0"/>
                      <w:sz w:val="15"/>
                      <w:szCs w:val="15"/>
                      <w:bdr w:val="single" w:color="auto" w:sz="4" w:space="0"/>
                      <w:lang w:eastAsia="en-US" w:bidi="en-US"/>
                    </w:rPr>
                    <w:t>)</w:t>
                  </w:r>
                </w:p>
              </w:tc>
              <w:tc>
                <w:tcPr>
                  <w:tcW w:w="1269" w:type="pct"/>
                  <w:tcBorders>
                    <w:top w:val="single" w:color="auto" w:sz="4" w:space="0"/>
                    <w:left w:val="single" w:color="auto" w:sz="4" w:space="0"/>
                  </w:tcBorders>
                  <w:shd w:val="clear" w:color="auto" w:fill="FFFFFF"/>
                  <w:vAlign w:val="center"/>
                </w:tcPr>
                <w:p>
                  <w:pPr>
                    <w:spacing w:line="360" w:lineRule="auto"/>
                    <w:ind w:right="20"/>
                    <w:jc w:val="center"/>
                    <w:rPr>
                      <w:rFonts w:ascii="宋体" w:hAnsi="宋体" w:cs="宋体"/>
                      <w:spacing w:val="20"/>
                      <w:kern w:val="0"/>
                      <w:sz w:val="15"/>
                      <w:szCs w:val="15"/>
                      <w:bdr w:val="single" w:color="auto" w:sz="4" w:space="0"/>
                      <w:lang w:val="zh-CN" w:bidi="zh-CN"/>
                    </w:rPr>
                  </w:pPr>
                  <w:r>
                    <w:rPr>
                      <w:rFonts w:ascii="宋体" w:hAnsi="宋体" w:cs="宋体"/>
                      <w:w w:val="120"/>
                      <w:kern w:val="0"/>
                      <w:sz w:val="15"/>
                      <w:szCs w:val="15"/>
                      <w:bdr w:val="single" w:color="auto" w:sz="4" w:space="0"/>
                      <w:lang w:eastAsia="en-US" w:bidi="en-US"/>
                    </w:rPr>
                    <w:t>0.</w:t>
                  </w:r>
                  <w:r>
                    <w:rPr>
                      <w:rFonts w:ascii="宋体" w:hAnsi="宋体" w:cs="宋体"/>
                      <w:w w:val="120"/>
                      <w:kern w:val="0"/>
                      <w:sz w:val="15"/>
                      <w:szCs w:val="15"/>
                      <w:bdr w:val="single" w:color="auto" w:sz="4" w:space="0"/>
                      <w:lang w:val="zh-CN" w:bidi="zh-CN"/>
                    </w:rPr>
                    <w:t>030</w:t>
                  </w:r>
                </w:p>
              </w:tc>
              <w:tc>
                <w:tcPr>
                  <w:tcW w:w="996" w:type="pct"/>
                  <w:tcBorders>
                    <w:top w:val="single" w:color="auto" w:sz="4" w:space="0"/>
                    <w:left w:val="single" w:color="auto" w:sz="4" w:space="0"/>
                    <w:right w:val="single" w:color="auto" w:sz="4" w:space="0"/>
                  </w:tcBorders>
                  <w:shd w:val="clear" w:color="auto" w:fill="FFFFFF"/>
                  <w:vAlign w:val="center"/>
                </w:tcPr>
                <w:p>
                  <w:pPr>
                    <w:spacing w:line="360" w:lineRule="auto"/>
                    <w:ind w:left="20"/>
                    <w:jc w:val="center"/>
                    <w:rPr>
                      <w:rFonts w:ascii="宋体" w:hAnsi="宋体" w:cs="宋体"/>
                      <w:spacing w:val="20"/>
                      <w:kern w:val="0"/>
                      <w:sz w:val="15"/>
                      <w:szCs w:val="15"/>
                      <w:bdr w:val="single" w:color="auto" w:sz="4" w:space="0"/>
                      <w:lang w:val="zh-CN" w:bidi="zh-CN"/>
                    </w:rPr>
                  </w:pPr>
                  <w:r>
                    <w:rPr>
                      <w:rFonts w:ascii="宋体" w:hAnsi="宋体" w:cs="宋体"/>
                      <w:w w:val="120"/>
                      <w:kern w:val="0"/>
                      <w:sz w:val="15"/>
                      <w:szCs w:val="15"/>
                      <w:bdr w:val="single" w:color="auto" w:sz="4" w:space="0"/>
                      <w:lang w:val="zh-CN" w:bidi="zh-CN"/>
                    </w:rPr>
                    <w:t>10</w:t>
                  </w:r>
                </w:p>
              </w:tc>
            </w:tr>
            <w:tr>
              <w:tblPrEx>
                <w:tblCellMar>
                  <w:top w:w="0" w:type="dxa"/>
                  <w:left w:w="10" w:type="dxa"/>
                  <w:bottom w:w="0" w:type="dxa"/>
                  <w:right w:w="10" w:type="dxa"/>
                </w:tblCellMar>
              </w:tblPrEx>
              <w:trPr>
                <w:trHeight w:val="413" w:hRule="exact"/>
                <w:jc w:val="center"/>
              </w:trPr>
              <w:tc>
                <w:tcPr>
                  <w:tcW w:w="2735" w:type="pct"/>
                  <w:tcBorders>
                    <w:top w:val="single" w:color="auto" w:sz="4" w:space="0"/>
                    <w:left w:val="single" w:color="auto" w:sz="4" w:space="0"/>
                  </w:tcBorders>
                  <w:shd w:val="clear" w:color="auto" w:fill="FFFFFF"/>
                  <w:vAlign w:val="center"/>
                </w:tcPr>
                <w:p>
                  <w:pPr>
                    <w:spacing w:line="360" w:lineRule="auto"/>
                    <w:ind w:right="20"/>
                    <w:jc w:val="center"/>
                    <w:rPr>
                      <w:rFonts w:ascii="宋体" w:hAnsi="宋体" w:cs="宋体"/>
                      <w:spacing w:val="20"/>
                      <w:kern w:val="0"/>
                      <w:sz w:val="15"/>
                      <w:szCs w:val="15"/>
                      <w:bdr w:val="single" w:color="auto" w:sz="4" w:space="0"/>
                      <w:lang w:val="zh-CN" w:bidi="zh-CN"/>
                    </w:rPr>
                  </w:pPr>
                  <w:r>
                    <w:rPr>
                      <w:rFonts w:ascii="宋体" w:hAnsi="宋体" w:cs="宋体"/>
                      <w:w w:val="120"/>
                      <w:kern w:val="0"/>
                      <w:sz w:val="15"/>
                      <w:szCs w:val="15"/>
                      <w:bdr w:val="single" w:color="auto" w:sz="4" w:space="0"/>
                      <w:lang w:val="zh-CN" w:bidi="zh-CN"/>
                    </w:rPr>
                    <w:t>氨</w:t>
                  </w:r>
                  <w:r>
                    <w:rPr>
                      <w:rFonts w:ascii="宋体" w:hAnsi="宋体" w:cs="宋体"/>
                      <w:w w:val="120"/>
                      <w:kern w:val="0"/>
                      <w:sz w:val="15"/>
                      <w:szCs w:val="15"/>
                      <w:bdr w:val="single" w:color="auto" w:sz="4" w:space="0"/>
                      <w:lang w:eastAsia="en-US" w:bidi="en-US"/>
                    </w:rPr>
                    <w:t>（</w:t>
                  </w:r>
                  <w:r>
                    <w:rPr>
                      <w:rFonts w:ascii="宋体" w:hAnsi="宋体"/>
                      <w:bCs/>
                      <w:kern w:val="0"/>
                      <w:sz w:val="15"/>
                      <w:szCs w:val="15"/>
                      <w:bdr w:val="single" w:color="auto" w:sz="4" w:space="0"/>
                      <w:lang w:eastAsia="en-US" w:bidi="en-US"/>
                    </w:rPr>
                    <w:t>mg</w:t>
                  </w:r>
                  <w:r>
                    <w:rPr>
                      <w:rFonts w:ascii="宋体" w:hAnsi="宋体" w:cs="宋体"/>
                      <w:w w:val="120"/>
                      <w:kern w:val="0"/>
                      <w:sz w:val="15"/>
                      <w:szCs w:val="15"/>
                      <w:bdr w:val="single" w:color="auto" w:sz="4" w:space="0"/>
                      <w:lang w:eastAsia="en-US" w:bidi="en-US"/>
                    </w:rPr>
                    <w:t>/</w:t>
                  </w:r>
                  <w:r>
                    <w:rPr>
                      <w:rFonts w:ascii="宋体" w:hAnsi="宋体"/>
                      <w:bCs/>
                      <w:kern w:val="0"/>
                      <w:sz w:val="15"/>
                      <w:szCs w:val="15"/>
                      <w:bdr w:val="single" w:color="auto" w:sz="4" w:space="0"/>
                      <w:lang w:eastAsia="en-US" w:bidi="en-US"/>
                    </w:rPr>
                    <w:t>m</w:t>
                  </w:r>
                  <w:r>
                    <w:rPr>
                      <w:rFonts w:ascii="宋体" w:hAnsi="宋体" w:cs="宋体"/>
                      <w:w w:val="120"/>
                      <w:kern w:val="0"/>
                      <w:sz w:val="15"/>
                      <w:szCs w:val="15"/>
                      <w:bdr w:val="single" w:color="auto" w:sz="4" w:space="0"/>
                      <w:vertAlign w:val="superscript"/>
                      <w:lang w:eastAsia="en-US" w:bidi="en-US"/>
                    </w:rPr>
                    <w:t>3</w:t>
                  </w:r>
                  <w:r>
                    <w:rPr>
                      <w:rFonts w:ascii="宋体" w:hAnsi="宋体" w:cs="宋体"/>
                      <w:w w:val="120"/>
                      <w:kern w:val="0"/>
                      <w:sz w:val="15"/>
                      <w:szCs w:val="15"/>
                      <w:bdr w:val="single" w:color="auto" w:sz="4" w:space="0"/>
                      <w:lang w:eastAsia="en-US" w:bidi="en-US"/>
                    </w:rPr>
                    <w:t>)</w:t>
                  </w:r>
                </w:p>
              </w:tc>
              <w:tc>
                <w:tcPr>
                  <w:tcW w:w="1269" w:type="pct"/>
                  <w:tcBorders>
                    <w:top w:val="single" w:color="auto" w:sz="4" w:space="0"/>
                    <w:left w:val="single" w:color="auto" w:sz="4" w:space="0"/>
                  </w:tcBorders>
                  <w:shd w:val="clear" w:color="auto" w:fill="FFFFFF"/>
                  <w:vAlign w:val="center"/>
                </w:tcPr>
                <w:p>
                  <w:pPr>
                    <w:spacing w:line="360" w:lineRule="auto"/>
                    <w:ind w:right="20"/>
                    <w:jc w:val="center"/>
                    <w:rPr>
                      <w:rFonts w:ascii="宋体" w:hAnsi="宋体" w:cs="宋体"/>
                      <w:spacing w:val="20"/>
                      <w:kern w:val="0"/>
                      <w:sz w:val="15"/>
                      <w:szCs w:val="15"/>
                      <w:bdr w:val="single" w:color="auto" w:sz="4" w:space="0"/>
                      <w:lang w:val="zh-CN" w:bidi="zh-CN"/>
                    </w:rPr>
                  </w:pPr>
                  <w:r>
                    <w:rPr>
                      <w:rFonts w:ascii="宋体" w:hAnsi="宋体" w:cs="宋体"/>
                      <w:w w:val="120"/>
                      <w:kern w:val="0"/>
                      <w:sz w:val="15"/>
                      <w:szCs w:val="15"/>
                      <w:bdr w:val="single" w:color="auto" w:sz="4" w:space="0"/>
                      <w:lang w:val="zh-CN" w:bidi="zh-CN"/>
                    </w:rPr>
                    <w:t>1</w:t>
                  </w:r>
                  <w:r>
                    <w:rPr>
                      <w:rFonts w:hint="eastAsia" w:ascii="宋体" w:hAnsi="宋体" w:cs="宋体"/>
                      <w:w w:val="120"/>
                      <w:kern w:val="0"/>
                      <w:sz w:val="15"/>
                      <w:szCs w:val="15"/>
                      <w:bdr w:val="single" w:color="auto" w:sz="4" w:space="0"/>
                      <w:lang w:bidi="zh-CN"/>
                    </w:rPr>
                    <w:t>.</w:t>
                  </w:r>
                  <w:r>
                    <w:rPr>
                      <w:rFonts w:ascii="宋体" w:hAnsi="宋体" w:cs="宋体"/>
                      <w:w w:val="120"/>
                      <w:kern w:val="0"/>
                      <w:sz w:val="15"/>
                      <w:szCs w:val="15"/>
                      <w:bdr w:val="single" w:color="auto" w:sz="4" w:space="0"/>
                      <w:lang w:val="zh-CN" w:bidi="zh-CN"/>
                    </w:rPr>
                    <w:t>0</w:t>
                  </w:r>
                </w:p>
              </w:tc>
              <w:tc>
                <w:tcPr>
                  <w:tcW w:w="996" w:type="pct"/>
                  <w:tcBorders>
                    <w:top w:val="single" w:color="auto" w:sz="4" w:space="0"/>
                    <w:left w:val="single" w:color="auto" w:sz="4" w:space="0"/>
                    <w:right w:val="single" w:color="auto" w:sz="4" w:space="0"/>
                  </w:tcBorders>
                  <w:shd w:val="clear" w:color="auto" w:fill="FFFFFF"/>
                  <w:vAlign w:val="center"/>
                </w:tcPr>
                <w:p>
                  <w:pPr>
                    <w:spacing w:line="360" w:lineRule="auto"/>
                    <w:ind w:left="20"/>
                    <w:jc w:val="center"/>
                    <w:rPr>
                      <w:rFonts w:ascii="宋体" w:hAnsi="宋体" w:cs="宋体"/>
                      <w:spacing w:val="20"/>
                      <w:kern w:val="0"/>
                      <w:sz w:val="15"/>
                      <w:szCs w:val="15"/>
                      <w:bdr w:val="single" w:color="auto" w:sz="4" w:space="0"/>
                      <w:lang w:val="zh-CN" w:bidi="zh-CN"/>
                    </w:rPr>
                  </w:pPr>
                  <w:r>
                    <w:rPr>
                      <w:rFonts w:ascii="宋体" w:hAnsi="宋体" w:cs="宋体"/>
                      <w:w w:val="120"/>
                      <w:kern w:val="0"/>
                      <w:sz w:val="15"/>
                      <w:szCs w:val="15"/>
                      <w:bdr w:val="single" w:color="auto" w:sz="4" w:space="0"/>
                      <w:lang w:val="zh-CN" w:bidi="zh-CN"/>
                    </w:rPr>
                    <w:t>20</w:t>
                  </w:r>
                </w:p>
              </w:tc>
            </w:tr>
            <w:tr>
              <w:tblPrEx>
                <w:tblCellMar>
                  <w:top w:w="0" w:type="dxa"/>
                  <w:left w:w="10" w:type="dxa"/>
                  <w:bottom w:w="0" w:type="dxa"/>
                  <w:right w:w="10" w:type="dxa"/>
                </w:tblCellMar>
              </w:tblPrEx>
              <w:trPr>
                <w:trHeight w:val="433" w:hRule="exact"/>
                <w:jc w:val="center"/>
              </w:trPr>
              <w:tc>
                <w:tcPr>
                  <w:tcW w:w="2735" w:type="pct"/>
                  <w:tcBorders>
                    <w:top w:val="single" w:color="auto" w:sz="4" w:space="0"/>
                    <w:left w:val="single" w:color="auto" w:sz="4" w:space="0"/>
                  </w:tcBorders>
                  <w:shd w:val="clear" w:color="auto" w:fill="FFFFFF"/>
                  <w:vAlign w:val="center"/>
                </w:tcPr>
                <w:p>
                  <w:pPr>
                    <w:spacing w:line="360" w:lineRule="auto"/>
                    <w:ind w:right="20"/>
                    <w:jc w:val="center"/>
                    <w:rPr>
                      <w:rFonts w:ascii="宋体" w:hAnsi="宋体" w:cs="宋体"/>
                      <w:spacing w:val="20"/>
                      <w:kern w:val="0"/>
                      <w:sz w:val="15"/>
                      <w:szCs w:val="15"/>
                      <w:bdr w:val="single" w:color="auto" w:sz="4" w:space="0"/>
                      <w:lang w:val="zh-CN" w:bidi="zh-CN"/>
                    </w:rPr>
                  </w:pPr>
                  <w:r>
                    <w:rPr>
                      <w:rFonts w:ascii="宋体" w:hAnsi="宋体" w:cs="宋体"/>
                      <w:w w:val="120"/>
                      <w:kern w:val="0"/>
                      <w:sz w:val="15"/>
                      <w:szCs w:val="15"/>
                      <w:bdr w:val="single" w:color="auto" w:sz="4" w:space="0"/>
                      <w:lang w:val="zh-CN" w:bidi="zh-CN"/>
                    </w:rPr>
                    <w:t>臭气浓度（无量纲）</w:t>
                  </w:r>
                </w:p>
              </w:tc>
              <w:tc>
                <w:tcPr>
                  <w:tcW w:w="1269" w:type="pct"/>
                  <w:tcBorders>
                    <w:top w:val="single" w:color="auto" w:sz="4" w:space="0"/>
                    <w:left w:val="single" w:color="auto" w:sz="4" w:space="0"/>
                  </w:tcBorders>
                  <w:shd w:val="clear" w:color="auto" w:fill="FFFFFF"/>
                  <w:vAlign w:val="center"/>
                </w:tcPr>
                <w:p>
                  <w:pPr>
                    <w:spacing w:line="360" w:lineRule="auto"/>
                    <w:ind w:right="20"/>
                    <w:jc w:val="center"/>
                    <w:rPr>
                      <w:rFonts w:ascii="宋体" w:hAnsi="宋体" w:cs="宋体"/>
                      <w:spacing w:val="20"/>
                      <w:kern w:val="0"/>
                      <w:sz w:val="15"/>
                      <w:szCs w:val="15"/>
                      <w:bdr w:val="single" w:color="auto" w:sz="4" w:space="0"/>
                      <w:lang w:val="zh-CN" w:bidi="zh-CN"/>
                    </w:rPr>
                  </w:pPr>
                  <w:r>
                    <w:rPr>
                      <w:rFonts w:ascii="宋体" w:hAnsi="宋体" w:cs="宋体"/>
                      <w:w w:val="120"/>
                      <w:kern w:val="0"/>
                      <w:sz w:val="15"/>
                      <w:szCs w:val="15"/>
                      <w:bdr w:val="single" w:color="auto" w:sz="4" w:space="0"/>
                      <w:lang w:val="zh-CN" w:bidi="zh-CN"/>
                    </w:rPr>
                    <w:t>20</w:t>
                  </w:r>
                </w:p>
              </w:tc>
              <w:tc>
                <w:tcPr>
                  <w:tcW w:w="996" w:type="pct"/>
                  <w:tcBorders>
                    <w:top w:val="single" w:color="auto" w:sz="4" w:space="0"/>
                    <w:left w:val="single" w:color="auto" w:sz="4" w:space="0"/>
                    <w:right w:val="single" w:color="auto" w:sz="4" w:space="0"/>
                  </w:tcBorders>
                  <w:shd w:val="clear" w:color="auto" w:fill="FFFFFF"/>
                  <w:vAlign w:val="center"/>
                </w:tcPr>
                <w:p>
                  <w:pPr>
                    <w:spacing w:line="360" w:lineRule="auto"/>
                    <w:jc w:val="center"/>
                    <w:rPr>
                      <w:rFonts w:ascii="宋体" w:hAnsi="宋体"/>
                      <w:kern w:val="0"/>
                      <w:sz w:val="15"/>
                      <w:szCs w:val="15"/>
                      <w:bdr w:val="single" w:color="auto" w:sz="4" w:space="0"/>
                      <w:lang w:val="zh-CN" w:bidi="zh-CN"/>
                    </w:rPr>
                  </w:pPr>
                  <w:r>
                    <w:rPr>
                      <w:rFonts w:ascii="宋体" w:hAnsi="宋体"/>
                      <w:kern w:val="0"/>
                      <w:sz w:val="15"/>
                      <w:szCs w:val="15"/>
                      <w:bdr w:val="single" w:color="auto" w:sz="4" w:space="0"/>
                      <w:lang w:val="zh-CN" w:bidi="zh-CN"/>
                    </w:rPr>
                    <w:t>―</w:t>
                  </w:r>
                </w:p>
              </w:tc>
            </w:tr>
            <w:tr>
              <w:tblPrEx>
                <w:tblCellMar>
                  <w:top w:w="0" w:type="dxa"/>
                  <w:left w:w="10" w:type="dxa"/>
                  <w:bottom w:w="0" w:type="dxa"/>
                  <w:right w:w="10" w:type="dxa"/>
                </w:tblCellMar>
              </w:tblPrEx>
              <w:trPr>
                <w:trHeight w:val="425" w:hRule="exact"/>
                <w:jc w:val="center"/>
              </w:trPr>
              <w:tc>
                <w:tcPr>
                  <w:tcW w:w="2735" w:type="pct"/>
                  <w:tcBorders>
                    <w:top w:val="single" w:color="auto" w:sz="4" w:space="0"/>
                    <w:left w:val="single" w:color="auto" w:sz="4" w:space="0"/>
                  </w:tcBorders>
                  <w:shd w:val="clear" w:color="auto" w:fill="FFFFFF"/>
                  <w:vAlign w:val="center"/>
                </w:tcPr>
                <w:p>
                  <w:pPr>
                    <w:spacing w:line="360" w:lineRule="auto"/>
                    <w:ind w:right="20"/>
                    <w:jc w:val="center"/>
                    <w:rPr>
                      <w:rFonts w:ascii="宋体" w:hAnsi="宋体" w:cs="宋体"/>
                      <w:spacing w:val="20"/>
                      <w:kern w:val="0"/>
                      <w:sz w:val="15"/>
                      <w:szCs w:val="15"/>
                      <w:bdr w:val="single" w:color="auto" w:sz="4" w:space="0"/>
                      <w:lang w:val="zh-CN" w:bidi="zh-CN"/>
                    </w:rPr>
                  </w:pPr>
                  <w:r>
                    <w:rPr>
                      <w:rFonts w:ascii="宋体" w:hAnsi="宋体" w:cs="宋体"/>
                      <w:w w:val="120"/>
                      <w:kern w:val="0"/>
                      <w:sz w:val="15"/>
                      <w:szCs w:val="15"/>
                      <w:bdr w:val="single" w:color="auto" w:sz="4" w:space="0"/>
                      <w:lang w:val="zh-CN" w:bidi="zh-CN"/>
                    </w:rPr>
                    <w:t>总悬浮颗粒物</w:t>
                  </w:r>
                  <w:r>
                    <w:rPr>
                      <w:rFonts w:ascii="宋体" w:hAnsi="宋体"/>
                      <w:bCs/>
                      <w:kern w:val="0"/>
                      <w:sz w:val="15"/>
                      <w:szCs w:val="15"/>
                      <w:bdr w:val="single" w:color="auto" w:sz="4" w:space="0"/>
                      <w:lang w:bidi="en-US"/>
                    </w:rPr>
                    <w:t>TSP</w:t>
                  </w:r>
                  <w:r>
                    <w:rPr>
                      <w:rFonts w:ascii="宋体" w:hAnsi="宋体" w:cs="宋体"/>
                      <w:w w:val="120"/>
                      <w:kern w:val="0"/>
                      <w:sz w:val="15"/>
                      <w:szCs w:val="15"/>
                      <w:bdr w:val="single" w:color="auto" w:sz="4" w:space="0"/>
                      <w:lang w:bidi="en-US"/>
                    </w:rPr>
                    <w:t>(</w:t>
                  </w:r>
                  <w:r>
                    <w:rPr>
                      <w:rFonts w:ascii="宋体" w:hAnsi="宋体"/>
                      <w:bCs/>
                      <w:kern w:val="0"/>
                      <w:sz w:val="15"/>
                      <w:szCs w:val="15"/>
                      <w:bdr w:val="single" w:color="auto" w:sz="4" w:space="0"/>
                      <w:lang w:bidi="en-US"/>
                    </w:rPr>
                    <w:t>mg</w:t>
                  </w:r>
                  <w:r>
                    <w:rPr>
                      <w:rFonts w:ascii="宋体" w:hAnsi="宋体" w:cs="宋体"/>
                      <w:w w:val="120"/>
                      <w:kern w:val="0"/>
                      <w:sz w:val="15"/>
                      <w:szCs w:val="15"/>
                      <w:bdr w:val="single" w:color="auto" w:sz="4" w:space="0"/>
                      <w:lang w:bidi="en-US"/>
                    </w:rPr>
                    <w:t>/</w:t>
                  </w:r>
                  <w:r>
                    <w:rPr>
                      <w:rFonts w:ascii="宋体" w:hAnsi="宋体"/>
                      <w:bCs/>
                      <w:kern w:val="0"/>
                      <w:sz w:val="15"/>
                      <w:szCs w:val="15"/>
                      <w:bdr w:val="single" w:color="auto" w:sz="4" w:space="0"/>
                      <w:lang w:bidi="en-US"/>
                    </w:rPr>
                    <w:t>m</w:t>
                  </w:r>
                  <w:r>
                    <w:rPr>
                      <w:rFonts w:ascii="宋体" w:hAnsi="宋体" w:cs="宋体"/>
                      <w:w w:val="120"/>
                      <w:kern w:val="0"/>
                      <w:sz w:val="15"/>
                      <w:szCs w:val="15"/>
                      <w:bdr w:val="single" w:color="auto" w:sz="4" w:space="0"/>
                      <w:vertAlign w:val="superscript"/>
                      <w:lang w:bidi="en-US"/>
                    </w:rPr>
                    <w:t>3</w:t>
                  </w:r>
                  <w:r>
                    <w:rPr>
                      <w:rFonts w:ascii="宋体" w:hAnsi="宋体" w:cs="宋体"/>
                      <w:w w:val="120"/>
                      <w:kern w:val="0"/>
                      <w:sz w:val="15"/>
                      <w:szCs w:val="15"/>
                      <w:bdr w:val="single" w:color="auto" w:sz="4" w:space="0"/>
                      <w:lang w:bidi="en-US"/>
                    </w:rPr>
                    <w:t>)</w:t>
                  </w:r>
                </w:p>
              </w:tc>
              <w:tc>
                <w:tcPr>
                  <w:tcW w:w="1269" w:type="pct"/>
                  <w:tcBorders>
                    <w:top w:val="single" w:color="auto" w:sz="4" w:space="0"/>
                    <w:left w:val="single" w:color="auto" w:sz="4" w:space="0"/>
                  </w:tcBorders>
                  <w:shd w:val="clear" w:color="auto" w:fill="FFFFFF"/>
                  <w:vAlign w:val="center"/>
                </w:tcPr>
                <w:p>
                  <w:pPr>
                    <w:spacing w:line="360" w:lineRule="auto"/>
                    <w:ind w:right="20"/>
                    <w:jc w:val="center"/>
                    <w:rPr>
                      <w:rFonts w:ascii="宋体" w:hAnsi="宋体" w:cs="宋体"/>
                      <w:spacing w:val="20"/>
                      <w:kern w:val="0"/>
                      <w:sz w:val="15"/>
                      <w:szCs w:val="15"/>
                      <w:bdr w:val="single" w:color="auto" w:sz="4" w:space="0"/>
                      <w:lang w:val="zh-CN" w:bidi="zh-CN"/>
                    </w:rPr>
                  </w:pPr>
                  <w:r>
                    <w:rPr>
                      <w:rFonts w:ascii="宋体" w:hAnsi="宋体" w:cs="宋体"/>
                      <w:w w:val="120"/>
                      <w:kern w:val="0"/>
                      <w:sz w:val="15"/>
                      <w:szCs w:val="15"/>
                      <w:bdr w:val="single" w:color="auto" w:sz="4" w:space="0"/>
                      <w:lang w:eastAsia="en-US" w:bidi="en-US"/>
                    </w:rPr>
                    <w:t>0.30</w:t>
                  </w:r>
                </w:p>
              </w:tc>
              <w:tc>
                <w:tcPr>
                  <w:tcW w:w="996" w:type="pct"/>
                  <w:tcBorders>
                    <w:top w:val="single" w:color="auto" w:sz="4" w:space="0"/>
                    <w:left w:val="single" w:color="auto" w:sz="4" w:space="0"/>
                    <w:right w:val="single" w:color="auto" w:sz="4" w:space="0"/>
                  </w:tcBorders>
                  <w:shd w:val="clear" w:color="auto" w:fill="FFFFFF"/>
                  <w:vAlign w:val="center"/>
                </w:tcPr>
                <w:p>
                  <w:pPr>
                    <w:spacing w:line="360" w:lineRule="auto"/>
                    <w:jc w:val="center"/>
                    <w:rPr>
                      <w:rFonts w:ascii="宋体" w:hAnsi="宋体"/>
                      <w:kern w:val="0"/>
                      <w:sz w:val="15"/>
                      <w:szCs w:val="15"/>
                      <w:bdr w:val="single" w:color="auto" w:sz="4" w:space="0"/>
                      <w:lang w:val="zh-CN" w:bidi="zh-CN"/>
                    </w:rPr>
                  </w:pPr>
                  <w:r>
                    <w:rPr>
                      <w:rFonts w:ascii="宋体" w:hAnsi="宋体"/>
                      <w:kern w:val="0"/>
                      <w:sz w:val="15"/>
                      <w:szCs w:val="15"/>
                      <w:bdr w:val="single" w:color="auto" w:sz="4" w:space="0"/>
                      <w:lang w:val="zh-CN" w:bidi="zh-CN"/>
                    </w:rPr>
                    <w:t>―</w:t>
                  </w:r>
                </w:p>
              </w:tc>
            </w:tr>
            <w:tr>
              <w:tblPrEx>
                <w:tblCellMar>
                  <w:top w:w="0" w:type="dxa"/>
                  <w:left w:w="10" w:type="dxa"/>
                  <w:bottom w:w="0" w:type="dxa"/>
                  <w:right w:w="10" w:type="dxa"/>
                </w:tblCellMar>
              </w:tblPrEx>
              <w:trPr>
                <w:trHeight w:val="485" w:hRule="exact"/>
                <w:jc w:val="center"/>
              </w:trPr>
              <w:tc>
                <w:tcPr>
                  <w:tcW w:w="2735" w:type="pct"/>
                  <w:tcBorders>
                    <w:top w:val="single" w:color="auto" w:sz="4" w:space="0"/>
                    <w:left w:val="single" w:color="auto" w:sz="4" w:space="0"/>
                    <w:bottom w:val="single" w:color="auto" w:sz="4" w:space="0"/>
                  </w:tcBorders>
                  <w:shd w:val="clear" w:color="auto" w:fill="FFFFFF"/>
                  <w:vAlign w:val="center"/>
                </w:tcPr>
                <w:p>
                  <w:pPr>
                    <w:spacing w:line="360" w:lineRule="auto"/>
                    <w:ind w:right="20"/>
                    <w:jc w:val="center"/>
                    <w:rPr>
                      <w:color w:val="000000"/>
                      <w:sz w:val="15"/>
                      <w:szCs w:val="15"/>
                      <w:u w:val="single"/>
                      <w:bdr w:val="single" w:color="auto" w:sz="4" w:space="0"/>
                      <w:lang w:val="zh-CN"/>
                    </w:rPr>
                  </w:pPr>
                  <w:r>
                    <w:rPr>
                      <w:rFonts w:hint="eastAsia"/>
                      <w:color w:val="000000"/>
                      <w:sz w:val="15"/>
                      <w:szCs w:val="15"/>
                      <w:bdr w:val="single" w:color="auto" w:sz="4" w:space="0"/>
                      <w:lang w:val="zh-CN"/>
                    </w:rPr>
                    <w:t>可吸入颗粒物</w:t>
                  </w:r>
                  <w:r>
                    <w:rPr>
                      <w:rFonts w:hint="eastAsia"/>
                      <w:color w:val="000000"/>
                      <w:sz w:val="15"/>
                      <w:szCs w:val="15"/>
                      <w:u w:val="single"/>
                      <w:bdr w:val="single" w:color="auto" w:sz="4" w:space="0"/>
                      <w:lang w:val="zh-CN" w:eastAsia="en-US"/>
                    </w:rPr>
                    <w:t>PM10</w:t>
                  </w:r>
                  <w:r>
                    <w:rPr>
                      <w:rFonts w:hint="eastAsia"/>
                      <w:color w:val="000000"/>
                      <w:sz w:val="15"/>
                      <w:szCs w:val="15"/>
                      <w:u w:val="single"/>
                      <w:bdr w:val="single" w:color="auto" w:sz="4" w:space="0"/>
                      <w:lang w:eastAsia="en-US"/>
                    </w:rPr>
                    <w:t>(mg/m</w:t>
                  </w:r>
                  <w:r>
                    <w:rPr>
                      <w:rFonts w:hint="eastAsia" w:ascii="宋体" w:hAnsi="宋体" w:cs="宋体"/>
                      <w:w w:val="120"/>
                      <w:kern w:val="0"/>
                      <w:sz w:val="15"/>
                      <w:szCs w:val="15"/>
                      <w:bdr w:val="single" w:color="auto" w:sz="4" w:space="0"/>
                      <w:vertAlign w:val="superscript"/>
                      <w:lang w:eastAsia="en-US" w:bidi="en-US"/>
                    </w:rPr>
                    <w:t>3</w:t>
                  </w:r>
                  <w:r>
                    <w:rPr>
                      <w:rFonts w:hint="eastAsia"/>
                      <w:color w:val="000000"/>
                      <w:sz w:val="15"/>
                      <w:szCs w:val="15"/>
                      <w:u w:val="single"/>
                      <w:bdr w:val="single" w:color="auto" w:sz="4" w:space="0"/>
                      <w:lang w:eastAsia="en-US"/>
                    </w:rPr>
                    <w:t>)</w:t>
                  </w:r>
                </w:p>
              </w:tc>
              <w:tc>
                <w:tcPr>
                  <w:tcW w:w="1269" w:type="pct"/>
                  <w:tcBorders>
                    <w:top w:val="single" w:color="auto" w:sz="4" w:space="0"/>
                    <w:left w:val="single" w:color="auto" w:sz="4" w:space="0"/>
                    <w:bottom w:val="single" w:color="auto" w:sz="4" w:space="0"/>
                  </w:tcBorders>
                  <w:shd w:val="clear" w:color="auto" w:fill="FFFFFF"/>
                  <w:vAlign w:val="center"/>
                </w:tcPr>
                <w:p>
                  <w:pPr>
                    <w:spacing w:line="360" w:lineRule="auto"/>
                    <w:ind w:right="20"/>
                    <w:jc w:val="center"/>
                    <w:rPr>
                      <w:color w:val="000000"/>
                      <w:sz w:val="15"/>
                      <w:szCs w:val="15"/>
                      <w:bdr w:val="single" w:color="auto" w:sz="4" w:space="0"/>
                      <w:lang w:val="zh-CN"/>
                    </w:rPr>
                  </w:pPr>
                  <w:r>
                    <w:rPr>
                      <w:rFonts w:hint="eastAsia"/>
                      <w:color w:val="000000"/>
                      <w:sz w:val="15"/>
                      <w:szCs w:val="15"/>
                      <w:bdr w:val="single" w:color="auto" w:sz="4" w:space="0"/>
                      <w:lang w:val="zh-CN"/>
                    </w:rPr>
                    <w:t>0</w:t>
                  </w:r>
                  <w:r>
                    <w:rPr>
                      <w:rFonts w:hint="eastAsia"/>
                      <w:color w:val="000000"/>
                      <w:sz w:val="15"/>
                      <w:szCs w:val="15"/>
                      <w:bdr w:val="single" w:color="auto" w:sz="4" w:space="0"/>
                    </w:rPr>
                    <w:t>.</w:t>
                  </w:r>
                  <w:r>
                    <w:rPr>
                      <w:rFonts w:hint="eastAsia"/>
                      <w:color w:val="000000"/>
                      <w:sz w:val="15"/>
                      <w:szCs w:val="15"/>
                      <w:bdr w:val="single" w:color="auto" w:sz="4" w:space="0"/>
                      <w:lang w:val="zh-CN"/>
                    </w:rPr>
                    <w:t>15</w:t>
                  </w:r>
                </w:p>
              </w:tc>
              <w:tc>
                <w:tcPr>
                  <w:tcW w:w="996" w:type="pct"/>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ind w:left="20"/>
                    <w:jc w:val="center"/>
                    <w:rPr>
                      <w:rFonts w:ascii="宋体" w:hAnsi="宋体" w:cs="宋体"/>
                      <w:spacing w:val="20"/>
                      <w:kern w:val="0"/>
                      <w:sz w:val="15"/>
                      <w:szCs w:val="15"/>
                      <w:bdr w:val="single" w:color="auto" w:sz="4" w:space="0"/>
                      <w:lang w:val="zh-CN" w:bidi="zh-CN"/>
                    </w:rPr>
                  </w:pPr>
                  <w:r>
                    <w:rPr>
                      <w:rFonts w:ascii="宋体" w:hAnsi="宋体"/>
                      <w:kern w:val="0"/>
                      <w:sz w:val="15"/>
                      <w:szCs w:val="15"/>
                      <w:bdr w:val="single" w:color="auto" w:sz="4" w:space="0"/>
                      <w:lang w:val="zh-CN" w:bidi="zh-CN"/>
                    </w:rPr>
                    <w:t>―</w:t>
                  </w:r>
                </w:p>
              </w:tc>
            </w:tr>
          </w:tbl>
          <w:p>
            <w:pPr>
              <w:adjustRightInd w:val="0"/>
              <w:snapToGrid w:val="0"/>
              <w:spacing w:line="360" w:lineRule="auto"/>
              <w:rPr>
                <w:rFonts w:asciiTheme="minorEastAsia" w:hAnsiTheme="minorEastAsia" w:eastAsiaTheme="minorEastAsia"/>
                <w:sz w:val="24"/>
                <w:bdr w:val="single" w:color="auto" w:sz="4" w:space="0"/>
                <w:lang w:val="zh-CN"/>
              </w:rPr>
            </w:pPr>
          </w:p>
        </w:tc>
        <w:tc>
          <w:tcPr>
            <w:tcW w:w="4138" w:type="dxa"/>
          </w:tcPr>
          <w:p>
            <w:pPr>
              <w:adjustRightInd w:val="0"/>
              <w:snapToGrid w:val="0"/>
              <w:spacing w:line="360" w:lineRule="auto"/>
              <w:rPr>
                <w:rFonts w:asciiTheme="minorEastAsia" w:hAnsiTheme="minorEastAsia" w:eastAsiaTheme="minorEastAsia"/>
                <w:b/>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138" w:type="dxa"/>
          </w:tcPr>
          <w:p>
            <w:pPr>
              <w:pStyle w:val="44"/>
              <w:spacing w:before="0" w:beforeLines="0"/>
              <w:ind w:firstLine="0" w:firstLineChars="0"/>
              <w:rPr>
                <w:rFonts w:asciiTheme="minorEastAsia" w:hAnsiTheme="minorEastAsia" w:eastAsiaTheme="minorEastAsia"/>
                <w:kern w:val="2"/>
                <w:sz w:val="24"/>
                <w:szCs w:val="24"/>
                <w:bdr w:val="single" w:color="auto" w:sz="4" w:space="0"/>
              </w:rPr>
            </w:pPr>
            <w:r>
              <w:rPr>
                <w:rFonts w:hint="eastAsia" w:asciiTheme="minorEastAsia" w:hAnsiTheme="minorEastAsia" w:eastAsiaTheme="minorEastAsia"/>
                <w:b/>
                <w:bCs/>
                <w:sz w:val="24"/>
                <w:szCs w:val="24"/>
              </w:rPr>
              <w:t>2.0.1</w:t>
            </w:r>
            <w:r>
              <w:rPr>
                <w:rFonts w:hint="eastAsia" w:asciiTheme="minorEastAsia" w:hAnsiTheme="minorEastAsia" w:eastAsiaTheme="minorEastAsia"/>
                <w:kern w:val="2"/>
                <w:sz w:val="24"/>
                <w:szCs w:val="24"/>
              </w:rPr>
              <w:t xml:space="preserve"> </w:t>
            </w:r>
            <w:r>
              <w:rPr>
                <w:rStyle w:val="38"/>
                <w:rFonts w:hint="eastAsia" w:asciiTheme="minorEastAsia" w:hAnsiTheme="minorEastAsia" w:eastAsiaTheme="minorEastAsia"/>
                <w:sz w:val="24"/>
                <w:szCs w:val="24"/>
              </w:rPr>
              <w:t xml:space="preserve"> </w:t>
            </w:r>
            <w:r>
              <w:rPr>
                <w:rFonts w:hint="eastAsia" w:asciiTheme="minorEastAsia" w:hAnsiTheme="minorEastAsia" w:eastAsiaTheme="minorEastAsia"/>
                <w:kern w:val="2"/>
                <w:sz w:val="24"/>
                <w:szCs w:val="24"/>
              </w:rPr>
              <w:t>为了解决收集站普遍存在的选址难、建设难问题，本条强调了</w:t>
            </w:r>
            <w:r>
              <w:rPr>
                <w:rFonts w:asciiTheme="minorEastAsia" w:hAnsiTheme="minorEastAsia" w:eastAsiaTheme="minorEastAsia"/>
                <w:kern w:val="2"/>
                <w:sz w:val="24"/>
                <w:szCs w:val="24"/>
              </w:rPr>
              <w:t>收集站与</w:t>
            </w:r>
            <w:r>
              <w:rPr>
                <w:rFonts w:hint="eastAsia" w:asciiTheme="minorEastAsia" w:hAnsiTheme="minorEastAsia" w:eastAsiaTheme="minorEastAsia"/>
                <w:kern w:val="2"/>
                <w:sz w:val="24"/>
                <w:szCs w:val="24"/>
              </w:rPr>
              <w:t>其他建筑的“三同时”原则，即“</w:t>
            </w:r>
            <w:r>
              <w:rPr>
                <w:rFonts w:asciiTheme="minorEastAsia" w:hAnsiTheme="minorEastAsia" w:eastAsiaTheme="minorEastAsia"/>
                <w:kern w:val="2"/>
                <w:sz w:val="24"/>
                <w:szCs w:val="24"/>
              </w:rPr>
              <w:t>同步规划、同步建设和同时投入使用</w:t>
            </w:r>
            <w:r>
              <w:rPr>
                <w:rFonts w:hint="eastAsia" w:asciiTheme="minorEastAsia" w:hAnsiTheme="minorEastAsia" w:eastAsiaTheme="minorEastAsia"/>
                <w:kern w:val="2"/>
                <w:sz w:val="24"/>
                <w:szCs w:val="24"/>
              </w:rPr>
              <w:t>”</w:t>
            </w:r>
            <w:r>
              <w:rPr>
                <w:rFonts w:asciiTheme="minorEastAsia" w:hAnsiTheme="minorEastAsia" w:eastAsiaTheme="minorEastAsia"/>
                <w:kern w:val="2"/>
                <w:sz w:val="24"/>
                <w:szCs w:val="24"/>
              </w:rPr>
              <w:t>。</w:t>
            </w:r>
            <w:r>
              <w:rPr>
                <w:rFonts w:hint="eastAsia" w:asciiTheme="minorEastAsia" w:hAnsiTheme="minorEastAsia" w:eastAsiaTheme="minorEastAsia"/>
                <w:kern w:val="2"/>
                <w:sz w:val="24"/>
                <w:szCs w:val="24"/>
              </w:rPr>
              <w:t xml:space="preserve"> </w:t>
            </w:r>
            <w:r>
              <w:rPr>
                <w:rFonts w:hint="eastAsia" w:asciiTheme="minorEastAsia" w:hAnsiTheme="minorEastAsia" w:eastAsiaTheme="minorEastAsia"/>
                <w:kern w:val="2"/>
                <w:sz w:val="24"/>
                <w:szCs w:val="24"/>
                <w:bdr w:val="single" w:color="auto" w:sz="4" w:space="0"/>
              </w:rPr>
              <w:t>按照现行国家标准《环境卫生术语标准》 CJJ</w:t>
            </w:r>
            <w:r>
              <w:rPr>
                <w:rFonts w:asciiTheme="minorEastAsia" w:hAnsiTheme="minorEastAsia" w:eastAsiaTheme="minorEastAsia"/>
                <w:kern w:val="2"/>
                <w:sz w:val="24"/>
                <w:szCs w:val="24"/>
                <w:bdr w:val="single" w:color="auto" w:sz="4" w:space="0"/>
              </w:rPr>
              <w:t xml:space="preserve"> </w:t>
            </w:r>
            <w:r>
              <w:rPr>
                <w:rFonts w:hint="eastAsia" w:asciiTheme="minorEastAsia" w:hAnsiTheme="minorEastAsia" w:eastAsiaTheme="minorEastAsia"/>
                <w:kern w:val="2"/>
                <w:sz w:val="24"/>
                <w:szCs w:val="24"/>
                <w:bdr w:val="single" w:color="auto" w:sz="4" w:space="0"/>
              </w:rPr>
              <w:t>65的定义，生活垃圾收集点是按规定设置的收集垃圾的地点。生活垃圾收集点（以下简称“收集点”）是垃圾集中投放的地点，是垃圾收集系统最前端的环节，也是收集系统的重要组成部分，收集点也一并做了要求。</w:t>
            </w:r>
          </w:p>
        </w:tc>
        <w:tc>
          <w:tcPr>
            <w:tcW w:w="4138" w:type="dxa"/>
          </w:tcPr>
          <w:p>
            <w:pPr>
              <w:adjustRightInd w:val="0"/>
              <w:snapToGrid w:val="0"/>
              <w:spacing w:line="360" w:lineRule="auto"/>
              <w:rPr>
                <w:rFonts w:asciiTheme="minorEastAsia" w:hAnsiTheme="minorEastAsia" w:eastAsiaTheme="minorEastAsia"/>
                <w:b/>
                <w:sz w:val="24"/>
              </w:rPr>
            </w:pPr>
            <w:r>
              <w:rPr>
                <w:rFonts w:hint="eastAsia" w:asciiTheme="minorEastAsia" w:hAnsiTheme="minorEastAsia" w:eastAsiaTheme="minorEastAsia"/>
                <w:b/>
                <w:bCs/>
                <w:sz w:val="24"/>
              </w:rPr>
              <w:t>2.0.1</w:t>
            </w:r>
            <w:r>
              <w:rPr>
                <w:rFonts w:hint="eastAsia" w:asciiTheme="minorEastAsia" w:hAnsiTheme="minorEastAsia" w:eastAsiaTheme="minorEastAsia"/>
                <w:sz w:val="24"/>
              </w:rPr>
              <w:t xml:space="preserve"> </w:t>
            </w:r>
            <w:r>
              <w:rPr>
                <w:rStyle w:val="38"/>
                <w:rFonts w:hint="eastAsia" w:asciiTheme="minorEastAsia" w:hAnsiTheme="minorEastAsia" w:eastAsiaTheme="minorEastAsia"/>
                <w:sz w:val="24"/>
                <w:szCs w:val="24"/>
              </w:rPr>
              <w:t xml:space="preserve"> </w:t>
            </w:r>
            <w:r>
              <w:rPr>
                <w:rFonts w:hint="eastAsia" w:asciiTheme="minorEastAsia" w:hAnsiTheme="minorEastAsia" w:eastAsiaTheme="minorEastAsia"/>
                <w:sz w:val="24"/>
              </w:rPr>
              <w:t>为了解决收集站普遍存在的选址难、建设难问题，本条强调了</w:t>
            </w:r>
            <w:r>
              <w:rPr>
                <w:rFonts w:asciiTheme="minorEastAsia" w:hAnsiTheme="minorEastAsia" w:eastAsiaTheme="minorEastAsia"/>
                <w:sz w:val="24"/>
              </w:rPr>
              <w:t>收集站与</w:t>
            </w:r>
            <w:r>
              <w:rPr>
                <w:rFonts w:hint="eastAsia" w:asciiTheme="minorEastAsia" w:hAnsiTheme="minorEastAsia" w:eastAsiaTheme="minorEastAsia"/>
                <w:sz w:val="24"/>
              </w:rPr>
              <w:t>其他建筑的“三同时”原则，即“</w:t>
            </w:r>
            <w:r>
              <w:rPr>
                <w:rFonts w:asciiTheme="minorEastAsia" w:hAnsiTheme="minorEastAsia" w:eastAsiaTheme="minorEastAsia"/>
                <w:sz w:val="24"/>
              </w:rPr>
              <w:t>同步规划、同步建设和同时投入使用</w:t>
            </w:r>
            <w:r>
              <w:rPr>
                <w:rFonts w:hint="eastAsia" w:asciiTheme="minorEastAsia" w:hAnsiTheme="minorEastAsia" w:eastAsiaTheme="minorEastAsia"/>
                <w:sz w:val="24"/>
              </w:rPr>
              <w:t>”</w:t>
            </w:r>
            <w:r>
              <w:rPr>
                <w:rFonts w:asciiTheme="minorEastAsia" w:hAnsiTheme="minorEastAsia" w:eastAsiaTheme="minorEastAsia"/>
                <w:sz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138" w:type="dxa"/>
          </w:tcPr>
          <w:p>
            <w:pPr>
              <w:widowControl/>
              <w:adjustRightInd w:val="0"/>
              <w:snapToGrid w:val="0"/>
              <w:spacing w:line="360" w:lineRule="auto"/>
              <w:jc w:val="left"/>
              <w:outlineLvl w:val="3"/>
              <w:rPr>
                <w:rFonts w:asciiTheme="minorEastAsia" w:hAnsiTheme="minorEastAsia" w:eastAsiaTheme="minorEastAsia"/>
                <w:sz w:val="24"/>
                <w:bdr w:val="single" w:color="auto" w:sz="4" w:space="0"/>
              </w:rPr>
            </w:pPr>
            <w:r>
              <w:rPr>
                <w:rFonts w:hint="eastAsia" w:asciiTheme="minorEastAsia" w:hAnsiTheme="minorEastAsia" w:eastAsiaTheme="minorEastAsia"/>
                <w:b/>
                <w:kern w:val="0"/>
                <w:sz w:val="24"/>
              </w:rPr>
              <w:t>3.2.4</w:t>
            </w:r>
            <w:r>
              <w:rPr>
                <w:rFonts w:hint="eastAsia" w:asciiTheme="minorEastAsia" w:hAnsiTheme="minorEastAsia" w:eastAsiaTheme="minorEastAsia"/>
                <w:kern w:val="0"/>
                <w:sz w:val="24"/>
              </w:rPr>
              <w:t xml:space="preserve">  </w:t>
            </w:r>
            <w:r>
              <w:rPr>
                <w:rFonts w:hint="eastAsia" w:asciiTheme="minorEastAsia" w:hAnsiTheme="minorEastAsia" w:eastAsiaTheme="minorEastAsia"/>
                <w:sz w:val="24"/>
                <w:bdr w:val="single" w:color="auto" w:sz="4" w:space="0"/>
              </w:rPr>
              <w:t>对收集点的设置提出四点要求。港湾式收集点既能减少环境影响，也不影响车辆及行人行走，是一种比较好的型式。人行道内侧港湾式收集点要设置坡道，便于垃圾桶的来回移动；</w:t>
            </w:r>
            <w:r>
              <w:rPr>
                <w:rFonts w:asciiTheme="minorEastAsia" w:hAnsiTheme="minorEastAsia" w:eastAsiaTheme="minorEastAsia"/>
                <w:sz w:val="24"/>
                <w:bdr w:val="single" w:color="auto" w:sz="4" w:space="0"/>
              </w:rPr>
              <w:t>服务半径</w:t>
            </w:r>
            <w:r>
              <w:rPr>
                <w:rFonts w:hint="eastAsia" w:asciiTheme="minorEastAsia" w:hAnsiTheme="minorEastAsia" w:eastAsiaTheme="minorEastAsia"/>
                <w:sz w:val="24"/>
                <w:bdr w:val="single" w:color="auto" w:sz="4" w:space="0"/>
              </w:rPr>
              <w:t>的规定参考了现行国家标准《城镇环境卫生设施设置标准》CJJ 27；垃圾产生量大的地点，尽量使用大容量塑料垃圾桶，每个收集点垃圾桶数量上限为10，下限考虑到分类收集的需要，至少设置可回收、不可回收两类，因此数量为2；分类垃圾桶采用不同的桶身颜色及容易识别的分类标志，便于市民识别和分类投放。</w:t>
            </w:r>
          </w:p>
        </w:tc>
        <w:tc>
          <w:tcPr>
            <w:tcW w:w="4138" w:type="dxa"/>
          </w:tcPr>
          <w:p>
            <w:pPr>
              <w:widowControl/>
              <w:adjustRightInd w:val="0"/>
              <w:snapToGrid w:val="0"/>
              <w:spacing w:line="360" w:lineRule="auto"/>
              <w:jc w:val="left"/>
              <w:outlineLvl w:val="3"/>
              <w:rPr>
                <w:rFonts w:asciiTheme="minorEastAsia" w:hAnsiTheme="minorEastAsia" w:eastAsiaTheme="minorEastAsia"/>
                <w:sz w:val="24"/>
                <w:bdr w:val="single" w:color="auto" w:sz="4" w:space="0"/>
              </w:rPr>
            </w:pPr>
            <w:r>
              <w:rPr>
                <w:rFonts w:hint="eastAsia" w:asciiTheme="minorEastAsia" w:hAnsiTheme="minorEastAsia" w:eastAsiaTheme="minorEastAsia"/>
                <w:b/>
                <w:kern w:val="0"/>
                <w:sz w:val="24"/>
              </w:rPr>
              <w:t>3.2.4</w:t>
            </w:r>
            <w:r>
              <w:rPr>
                <w:rFonts w:hint="eastAsia" w:asciiTheme="minorEastAsia" w:hAnsiTheme="minorEastAsia" w:eastAsiaTheme="minorEastAsia"/>
                <w:kern w:val="0"/>
                <w:sz w:val="24"/>
              </w:rPr>
              <w:t xml:space="preserve">  </w:t>
            </w:r>
            <w:r>
              <w:rPr>
                <w:rFonts w:hint="eastAsia" w:asciiTheme="minorEastAsia" w:hAnsiTheme="minorEastAsia" w:eastAsiaTheme="minorEastAsia"/>
                <w:kern w:val="0"/>
                <w:sz w:val="24"/>
                <w:u w:val="single"/>
              </w:rPr>
              <w:t>本条提出了</w:t>
            </w:r>
            <w:r>
              <w:rPr>
                <w:rFonts w:asciiTheme="minorEastAsia" w:hAnsiTheme="minorEastAsia" w:eastAsiaTheme="minorEastAsia"/>
                <w:kern w:val="0"/>
                <w:sz w:val="24"/>
                <w:u w:val="single"/>
              </w:rPr>
              <w:t>农村地区收集站设置标准。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138" w:type="dxa"/>
          </w:tcPr>
          <w:p>
            <w:pPr>
              <w:adjustRightInd w:val="0"/>
              <w:snapToGrid w:val="0"/>
              <w:spacing w:line="360" w:lineRule="auto"/>
              <w:rPr>
                <w:rFonts w:asciiTheme="minorEastAsia" w:hAnsiTheme="minorEastAsia" w:eastAsiaTheme="minorEastAsia"/>
                <w:b/>
                <w:sz w:val="24"/>
              </w:rPr>
            </w:pPr>
            <w:r>
              <w:rPr>
                <w:rFonts w:hint="eastAsia" w:asciiTheme="minorEastAsia" w:hAnsiTheme="minorEastAsia" w:eastAsiaTheme="minorEastAsia"/>
                <w:b/>
                <w:kern w:val="0"/>
                <w:sz w:val="24"/>
              </w:rPr>
              <w:t>4.1.</w:t>
            </w:r>
            <w:r>
              <w:rPr>
                <w:rFonts w:asciiTheme="minorEastAsia" w:hAnsiTheme="minorEastAsia" w:eastAsiaTheme="minorEastAsia"/>
                <w:b/>
                <w:kern w:val="0"/>
                <w:sz w:val="24"/>
              </w:rPr>
              <w:t>4</w:t>
            </w:r>
            <w:r>
              <w:rPr>
                <w:rFonts w:hint="eastAsia" w:asciiTheme="minorEastAsia" w:hAnsiTheme="minorEastAsia" w:eastAsiaTheme="minorEastAsia"/>
                <w:b/>
                <w:kern w:val="0"/>
                <w:sz w:val="24"/>
              </w:rPr>
              <w:t xml:space="preserve">  </w:t>
            </w:r>
            <w:r>
              <w:rPr>
                <w:rFonts w:hint="eastAsia" w:asciiTheme="minorEastAsia" w:hAnsiTheme="minorEastAsia" w:eastAsiaTheme="minorEastAsia"/>
                <w:sz w:val="24"/>
              </w:rPr>
              <w:t>本条列出了收集站设计规模的计算公式。主要参考了《城市环境卫生设施规划规范》GB</w:t>
            </w:r>
            <w:r>
              <w:rPr>
                <w:rFonts w:asciiTheme="minorEastAsia" w:hAnsiTheme="minorEastAsia" w:eastAsiaTheme="minorEastAsia"/>
                <w:sz w:val="24"/>
              </w:rPr>
              <w:t xml:space="preserve"> </w:t>
            </w:r>
            <w:r>
              <w:rPr>
                <w:rFonts w:hint="eastAsia" w:asciiTheme="minorEastAsia" w:hAnsiTheme="minorEastAsia" w:eastAsiaTheme="minorEastAsia"/>
                <w:sz w:val="24"/>
              </w:rPr>
              <w:t>50337</w:t>
            </w:r>
            <w:r>
              <w:rPr>
                <w:rFonts w:hint="eastAsia" w:asciiTheme="minorEastAsia" w:hAnsiTheme="minorEastAsia" w:eastAsiaTheme="minorEastAsia"/>
                <w:sz w:val="24"/>
                <w:bdr w:val="single" w:color="auto" w:sz="4" w:space="0"/>
              </w:rPr>
              <w:t>-20</w:t>
            </w:r>
            <w:r>
              <w:rPr>
                <w:rFonts w:asciiTheme="minorEastAsia" w:hAnsiTheme="minorEastAsia" w:eastAsiaTheme="minorEastAsia"/>
                <w:sz w:val="24"/>
                <w:bdr w:val="single" w:color="auto" w:sz="4" w:space="0"/>
              </w:rPr>
              <w:t>03</w:t>
            </w:r>
            <w:r>
              <w:rPr>
                <w:rFonts w:hint="eastAsia" w:asciiTheme="minorEastAsia" w:hAnsiTheme="minorEastAsia" w:eastAsiaTheme="minorEastAsia"/>
                <w:sz w:val="24"/>
              </w:rPr>
              <w:t>和《生活垃圾转运站技术规范》CJJ</w:t>
            </w:r>
            <w:r>
              <w:rPr>
                <w:rFonts w:asciiTheme="minorEastAsia" w:hAnsiTheme="minorEastAsia" w:eastAsiaTheme="minorEastAsia"/>
                <w:sz w:val="24"/>
              </w:rPr>
              <w:t xml:space="preserve"> 4</w:t>
            </w:r>
            <w:r>
              <w:rPr>
                <w:rFonts w:hint="eastAsia" w:asciiTheme="minorEastAsia" w:hAnsiTheme="minorEastAsia" w:eastAsiaTheme="minorEastAsia"/>
                <w:sz w:val="24"/>
              </w:rPr>
              <w:t>7</w:t>
            </w:r>
            <w:r>
              <w:rPr>
                <w:rFonts w:hint="eastAsia" w:asciiTheme="minorEastAsia" w:hAnsiTheme="minorEastAsia" w:eastAsiaTheme="minorEastAsia"/>
                <w:sz w:val="24"/>
                <w:bdr w:val="single" w:color="auto" w:sz="4" w:space="0"/>
              </w:rPr>
              <w:t>-20</w:t>
            </w:r>
            <w:r>
              <w:rPr>
                <w:rFonts w:asciiTheme="minorEastAsia" w:hAnsiTheme="minorEastAsia" w:eastAsiaTheme="minorEastAsia"/>
                <w:sz w:val="24"/>
                <w:bdr w:val="single" w:color="auto" w:sz="4" w:space="0"/>
              </w:rPr>
              <w:t>06</w:t>
            </w:r>
            <w:r>
              <w:rPr>
                <w:rFonts w:hint="eastAsia" w:asciiTheme="minorEastAsia" w:hAnsiTheme="minorEastAsia" w:eastAsiaTheme="minorEastAsia"/>
                <w:sz w:val="24"/>
              </w:rPr>
              <w:t>中的有关计算方法，并对生活垃圾产生量变化系数及服务区内人均垃圾排放量做了相应调整。影响垃圾产生量的主要因素有季节变化、人口波动及节庆活动等。影响最明显的是季节变化和节庆活动，波动最大的是节庆活动，其最大产生量为日常生活垃圾产生量的1倍以上，但持续时间很短。季节性变化持续时间较长，是生活垃圾产生量变化的主要考虑因素，通常季节变化的波动在0.8～1.4，考虑到收集站的设计实际，生活垃圾产生量变化系数为 1～1.4。居住区的人均垃圾排放量为 0.5～1,企事业单位的人均垃圾排放量为 0.3～0.5，以上数据都是根据近几年的实测值确定。</w:t>
            </w:r>
          </w:p>
        </w:tc>
        <w:tc>
          <w:tcPr>
            <w:tcW w:w="4138" w:type="dxa"/>
          </w:tcPr>
          <w:p>
            <w:pPr>
              <w:adjustRightInd w:val="0"/>
              <w:snapToGrid w:val="0"/>
              <w:spacing w:line="360" w:lineRule="auto"/>
              <w:rPr>
                <w:rFonts w:asciiTheme="minorEastAsia" w:hAnsiTheme="minorEastAsia" w:eastAsiaTheme="minorEastAsia"/>
                <w:b/>
                <w:sz w:val="24"/>
                <w:u w:val="single"/>
              </w:rPr>
            </w:pPr>
            <w:r>
              <w:rPr>
                <w:rFonts w:hint="eastAsia" w:asciiTheme="minorEastAsia" w:hAnsiTheme="minorEastAsia" w:eastAsiaTheme="minorEastAsia"/>
                <w:b/>
                <w:kern w:val="0"/>
                <w:sz w:val="24"/>
              </w:rPr>
              <w:t>4.1.</w:t>
            </w:r>
            <w:r>
              <w:rPr>
                <w:rFonts w:asciiTheme="minorEastAsia" w:hAnsiTheme="minorEastAsia" w:eastAsiaTheme="minorEastAsia"/>
                <w:b/>
                <w:kern w:val="0"/>
                <w:sz w:val="24"/>
              </w:rPr>
              <w:t>4</w:t>
            </w:r>
            <w:r>
              <w:rPr>
                <w:rFonts w:hint="eastAsia" w:asciiTheme="minorEastAsia" w:hAnsiTheme="minorEastAsia" w:eastAsiaTheme="minorEastAsia"/>
                <w:b/>
                <w:kern w:val="0"/>
                <w:sz w:val="24"/>
              </w:rPr>
              <w:t xml:space="preserve">  </w:t>
            </w:r>
            <w:r>
              <w:rPr>
                <w:rFonts w:hint="eastAsia" w:asciiTheme="minorEastAsia" w:hAnsiTheme="minorEastAsia" w:eastAsiaTheme="minorEastAsia"/>
                <w:sz w:val="24"/>
              </w:rPr>
              <w:t>本条列出了收集站设计规模的计算公式。主要参考了《城市环境卫生设施规划规范》GB</w:t>
            </w:r>
            <w:r>
              <w:rPr>
                <w:rFonts w:asciiTheme="minorEastAsia" w:hAnsiTheme="minorEastAsia" w:eastAsiaTheme="minorEastAsia"/>
                <w:sz w:val="24"/>
              </w:rPr>
              <w:t xml:space="preserve"> </w:t>
            </w:r>
            <w:r>
              <w:rPr>
                <w:rFonts w:hint="eastAsia" w:asciiTheme="minorEastAsia" w:hAnsiTheme="minorEastAsia" w:eastAsiaTheme="minorEastAsia"/>
                <w:sz w:val="24"/>
              </w:rPr>
              <w:t>50337和《生活垃圾转运站技术规范》CJJ</w:t>
            </w:r>
            <w:r>
              <w:rPr>
                <w:rFonts w:asciiTheme="minorEastAsia" w:hAnsiTheme="minorEastAsia" w:eastAsiaTheme="minorEastAsia"/>
                <w:sz w:val="24"/>
              </w:rPr>
              <w:t xml:space="preserve"> 4</w:t>
            </w:r>
            <w:r>
              <w:rPr>
                <w:rFonts w:hint="eastAsia" w:asciiTheme="minorEastAsia" w:hAnsiTheme="minorEastAsia" w:eastAsiaTheme="minorEastAsia"/>
                <w:sz w:val="24"/>
              </w:rPr>
              <w:t>7中的有关计算方法，并对生活垃圾产生量变化系数及服务区内人均垃圾排放量做了相应调整。影响垃圾产生量的主要因素有季节变化、人口波动及节庆活动等。影响最明显的是季节变化和节庆活动，波动最大的是节庆活动，其最大产生量为日常生活垃圾产生量的1倍以上，但持续时间很短。季节性变化持续时间较长，是生活垃圾产生量变化的主要考虑因素，通常季节变化的波动在0.8～1.4，考虑到收集站的设计实际，生活垃圾产生量变化系数为 1～1.4。居住区的人均垃圾排放量为 0.5～1,企事业单位的人均垃圾排放量为 0.3～0.5，以上数据都是根据近几年的实测值确定。</w:t>
            </w:r>
            <w:r>
              <w:rPr>
                <w:rFonts w:hint="eastAsia" w:asciiTheme="minorEastAsia" w:hAnsiTheme="minorEastAsia" w:eastAsiaTheme="minorEastAsia"/>
                <w:sz w:val="24"/>
                <w:u w:val="single"/>
              </w:rPr>
              <w:t>因</w:t>
            </w:r>
            <w:r>
              <w:rPr>
                <w:rFonts w:asciiTheme="minorEastAsia" w:hAnsiTheme="minorEastAsia" w:eastAsiaTheme="minorEastAsia"/>
                <w:sz w:val="24"/>
                <w:u w:val="single"/>
              </w:rPr>
              <w:t>生活垃圾分类或其他特殊情形</w:t>
            </w:r>
            <w:r>
              <w:rPr>
                <w:rFonts w:hint="eastAsia" w:asciiTheme="minorEastAsia" w:hAnsiTheme="minorEastAsia" w:eastAsiaTheme="minorEastAsia"/>
                <w:sz w:val="24"/>
                <w:u w:val="single"/>
              </w:rPr>
              <w:t>造成的服务区域内部分生活垃圾</w:t>
            </w:r>
            <w:r>
              <w:rPr>
                <w:rFonts w:asciiTheme="minorEastAsia" w:hAnsiTheme="minorEastAsia" w:eastAsiaTheme="minorEastAsia"/>
                <w:sz w:val="24"/>
                <w:u w:val="single"/>
              </w:rPr>
              <w:t>不进入收集站的情况</w:t>
            </w:r>
            <w:r>
              <w:rPr>
                <w:rFonts w:hint="eastAsia" w:asciiTheme="minorEastAsia" w:hAnsiTheme="minorEastAsia" w:eastAsiaTheme="minorEastAsia"/>
                <w:sz w:val="24"/>
                <w:u w:val="single"/>
              </w:rPr>
              <w:t>，收集站</w:t>
            </w:r>
            <w:r>
              <w:rPr>
                <w:rFonts w:asciiTheme="minorEastAsia" w:hAnsiTheme="minorEastAsia" w:eastAsiaTheme="minorEastAsia"/>
                <w:sz w:val="24"/>
                <w:u w:val="single"/>
              </w:rPr>
              <w:t>的设计规模应根据实际情况</w:t>
            </w:r>
            <w:r>
              <w:rPr>
                <w:rFonts w:hint="eastAsia" w:asciiTheme="minorEastAsia" w:hAnsiTheme="minorEastAsia" w:eastAsiaTheme="minorEastAsia"/>
                <w:sz w:val="24"/>
                <w:u w:val="single"/>
              </w:rPr>
              <w:t>核减</w:t>
            </w:r>
            <w:r>
              <w:rPr>
                <w:rFonts w:asciiTheme="minorEastAsia" w:hAnsiTheme="minorEastAsia" w:eastAsiaTheme="minorEastAsia"/>
                <w:sz w:val="24"/>
                <w:u w:val="single"/>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138" w:type="dxa"/>
          </w:tcPr>
          <w:p>
            <w:pPr>
              <w:adjustRightInd w:val="0"/>
              <w:snapToGrid w:val="0"/>
              <w:spacing w:line="360" w:lineRule="auto"/>
              <w:rPr>
                <w:rFonts w:asciiTheme="minorEastAsia" w:hAnsiTheme="minorEastAsia" w:eastAsiaTheme="minorEastAsia"/>
                <w:b/>
                <w:kern w:val="0"/>
                <w:sz w:val="24"/>
              </w:rPr>
            </w:pPr>
            <w:r>
              <w:rPr>
                <w:rFonts w:asciiTheme="minorEastAsia" w:hAnsiTheme="minorEastAsia" w:eastAsiaTheme="minorEastAsia"/>
                <w:b/>
                <w:sz w:val="24"/>
              </w:rPr>
              <w:t xml:space="preserve">5.1.3 </w:t>
            </w:r>
            <w:r>
              <w:rPr>
                <w:rFonts w:asciiTheme="minorEastAsia" w:hAnsiTheme="minorEastAsia" w:eastAsiaTheme="minorEastAsia"/>
                <w:sz w:val="24"/>
              </w:rPr>
              <w:t>根据一些城市的调研数据,我国目前垃圾容重大多在(250</w:t>
            </w:r>
            <w:r>
              <w:rPr>
                <w:rFonts w:hint="eastAsia" w:asciiTheme="minorEastAsia" w:hAnsiTheme="minorEastAsia" w:eastAsiaTheme="minorEastAsia"/>
                <w:sz w:val="24"/>
              </w:rPr>
              <w:t>～</w:t>
            </w:r>
            <w:r>
              <w:rPr>
                <w:rFonts w:asciiTheme="minorEastAsia" w:hAnsiTheme="minorEastAsia" w:eastAsiaTheme="minorEastAsia"/>
                <w:sz w:val="24"/>
              </w:rPr>
              <w:t>400)kg/ m</w:t>
            </w:r>
            <w:r>
              <w:rPr>
                <w:rFonts w:hint="eastAsia" w:asciiTheme="minorEastAsia" w:hAnsiTheme="minorEastAsia" w:eastAsiaTheme="minorEastAsia"/>
                <w:sz w:val="24"/>
                <w:vertAlign w:val="superscript"/>
              </w:rPr>
              <w:t>3</w:t>
            </w:r>
            <w:r>
              <w:rPr>
                <w:rFonts w:asciiTheme="minorEastAsia" w:hAnsiTheme="minorEastAsia" w:eastAsiaTheme="minorEastAsia"/>
                <w:sz w:val="24"/>
              </w:rPr>
              <w:t>之间,通常压缩式收集站的垃圾压缩后</w:t>
            </w:r>
            <w:r>
              <w:rPr>
                <w:rFonts w:asciiTheme="minorEastAsia" w:hAnsiTheme="minorEastAsia" w:eastAsiaTheme="minorEastAsia"/>
                <w:sz w:val="24"/>
                <w:bdr w:val="single" w:color="auto" w:sz="4" w:space="0"/>
              </w:rPr>
              <w:t>容重可达600kg/m</w:t>
            </w:r>
            <w:r>
              <w:rPr>
                <w:rFonts w:hint="eastAsia" w:asciiTheme="minorEastAsia" w:hAnsiTheme="minorEastAsia" w:eastAsiaTheme="minorEastAsia"/>
                <w:sz w:val="24"/>
                <w:bdr w:val="single" w:color="auto" w:sz="4" w:space="0"/>
                <w:vertAlign w:val="superscript"/>
              </w:rPr>
              <w:t>3</w:t>
            </w:r>
            <w:r>
              <w:rPr>
                <w:rFonts w:asciiTheme="minorEastAsia" w:hAnsiTheme="minorEastAsia" w:eastAsiaTheme="minorEastAsia"/>
                <w:sz w:val="24"/>
                <w:bdr w:val="single" w:color="auto" w:sz="4" w:space="0"/>
              </w:rPr>
              <w:t>以上</w:t>
            </w:r>
            <w:r>
              <w:rPr>
                <w:rFonts w:asciiTheme="minorEastAsia" w:hAnsiTheme="minorEastAsia" w:eastAsiaTheme="minorEastAsia"/>
                <w:sz w:val="24"/>
              </w:rPr>
              <w:t>,可以使垃圾达到脱水、减容、减重的效果,提高运输效率,节约运输成本。全过程密闭的压缩工艺,可以减少环境影响。</w:t>
            </w:r>
          </w:p>
        </w:tc>
        <w:tc>
          <w:tcPr>
            <w:tcW w:w="4138" w:type="dxa"/>
          </w:tcPr>
          <w:p>
            <w:pPr>
              <w:adjustRightInd w:val="0"/>
              <w:snapToGrid w:val="0"/>
              <w:spacing w:line="360" w:lineRule="auto"/>
              <w:rPr>
                <w:rFonts w:asciiTheme="minorEastAsia" w:hAnsiTheme="minorEastAsia" w:eastAsiaTheme="minorEastAsia"/>
                <w:b/>
                <w:kern w:val="0"/>
                <w:sz w:val="24"/>
              </w:rPr>
            </w:pPr>
            <w:r>
              <w:rPr>
                <w:rFonts w:asciiTheme="minorEastAsia" w:hAnsiTheme="minorEastAsia" w:eastAsiaTheme="minorEastAsia"/>
                <w:b/>
                <w:sz w:val="24"/>
              </w:rPr>
              <w:t xml:space="preserve">5.1.3 </w:t>
            </w:r>
            <w:r>
              <w:rPr>
                <w:rFonts w:asciiTheme="minorEastAsia" w:hAnsiTheme="minorEastAsia" w:eastAsiaTheme="minorEastAsia"/>
                <w:sz w:val="24"/>
              </w:rPr>
              <w:t>根据一些城市的调研数据,我国目前垃圾容重大多在(250</w:t>
            </w:r>
            <w:r>
              <w:rPr>
                <w:rFonts w:hint="eastAsia" w:asciiTheme="minorEastAsia" w:hAnsiTheme="minorEastAsia" w:eastAsiaTheme="minorEastAsia"/>
                <w:sz w:val="24"/>
              </w:rPr>
              <w:t>～</w:t>
            </w:r>
            <w:r>
              <w:rPr>
                <w:rFonts w:asciiTheme="minorEastAsia" w:hAnsiTheme="minorEastAsia" w:eastAsiaTheme="minorEastAsia"/>
                <w:sz w:val="24"/>
              </w:rPr>
              <w:t>400)kg/ m</w:t>
            </w:r>
            <w:r>
              <w:rPr>
                <w:rFonts w:hint="eastAsia" w:asciiTheme="minorEastAsia" w:hAnsiTheme="minorEastAsia" w:eastAsiaTheme="minorEastAsia"/>
                <w:sz w:val="24"/>
                <w:vertAlign w:val="superscript"/>
              </w:rPr>
              <w:t>3</w:t>
            </w:r>
            <w:r>
              <w:rPr>
                <w:rFonts w:asciiTheme="minorEastAsia" w:hAnsiTheme="minorEastAsia" w:eastAsiaTheme="minorEastAsia"/>
                <w:sz w:val="24"/>
              </w:rPr>
              <w:t>之间,通常压缩式收集站的垃圾压缩后,</w:t>
            </w:r>
            <w:r>
              <w:rPr>
                <w:rFonts w:hint="eastAsia" w:asciiTheme="minorEastAsia" w:hAnsiTheme="minorEastAsia" w:eastAsiaTheme="minorEastAsia"/>
                <w:sz w:val="24"/>
                <w:u w:val="single"/>
              </w:rPr>
              <w:t>其他垃圾压实密度0.</w:t>
            </w:r>
            <w:r>
              <w:rPr>
                <w:rFonts w:asciiTheme="minorEastAsia" w:hAnsiTheme="minorEastAsia" w:eastAsiaTheme="minorEastAsia"/>
                <w:sz w:val="24"/>
                <w:u w:val="single"/>
              </w:rPr>
              <w:t>5</w:t>
            </w:r>
            <w:r>
              <w:rPr>
                <w:rFonts w:hint="eastAsia" w:asciiTheme="minorEastAsia" w:hAnsiTheme="minorEastAsia" w:eastAsiaTheme="minorEastAsia"/>
                <w:sz w:val="24"/>
                <w:u w:val="single"/>
              </w:rPr>
              <w:t>～0.</w:t>
            </w:r>
            <w:r>
              <w:rPr>
                <w:rFonts w:asciiTheme="minorEastAsia" w:hAnsiTheme="minorEastAsia" w:eastAsiaTheme="minorEastAsia"/>
                <w:sz w:val="24"/>
                <w:u w:val="single"/>
              </w:rPr>
              <w:t>8</w:t>
            </w:r>
            <w:r>
              <w:rPr>
                <w:rFonts w:hint="eastAsia" w:asciiTheme="minorEastAsia" w:hAnsiTheme="minorEastAsia" w:eastAsiaTheme="minorEastAsia"/>
                <w:sz w:val="24"/>
                <w:u w:val="single"/>
              </w:rPr>
              <w:t>t/m</w:t>
            </w:r>
            <w:r>
              <w:rPr>
                <w:rFonts w:hint="eastAsia" w:asciiTheme="minorEastAsia" w:hAnsiTheme="minorEastAsia" w:eastAsiaTheme="minorEastAsia"/>
                <w:sz w:val="24"/>
                <w:u w:val="single"/>
                <w:vertAlign w:val="superscript"/>
              </w:rPr>
              <w:t>3</w:t>
            </w:r>
            <w:r>
              <w:rPr>
                <w:rFonts w:hint="eastAsia" w:asciiTheme="minorEastAsia" w:hAnsiTheme="minorEastAsia" w:eastAsiaTheme="minorEastAsia"/>
                <w:sz w:val="24"/>
                <w:u w:val="single"/>
              </w:rPr>
              <w:t>；厨余垃圾压实密度0.</w:t>
            </w:r>
            <w:r>
              <w:rPr>
                <w:rFonts w:asciiTheme="minorEastAsia" w:hAnsiTheme="minorEastAsia" w:eastAsiaTheme="minorEastAsia"/>
                <w:sz w:val="24"/>
                <w:u w:val="single"/>
              </w:rPr>
              <w:t>9</w:t>
            </w:r>
            <w:r>
              <w:rPr>
                <w:rFonts w:hint="eastAsia" w:asciiTheme="minorEastAsia" w:hAnsiTheme="minorEastAsia" w:eastAsiaTheme="minorEastAsia"/>
                <w:sz w:val="24"/>
                <w:u w:val="single"/>
              </w:rPr>
              <w:t>～</w:t>
            </w:r>
            <w:r>
              <w:rPr>
                <w:rFonts w:asciiTheme="minorEastAsia" w:hAnsiTheme="minorEastAsia" w:eastAsiaTheme="minorEastAsia"/>
                <w:sz w:val="24"/>
                <w:u w:val="single"/>
              </w:rPr>
              <w:t>1.2</w:t>
            </w:r>
            <w:r>
              <w:rPr>
                <w:rFonts w:hint="eastAsia" w:asciiTheme="minorEastAsia" w:hAnsiTheme="minorEastAsia" w:eastAsiaTheme="minorEastAsia"/>
                <w:sz w:val="24"/>
                <w:u w:val="single"/>
              </w:rPr>
              <w:t>t/m</w:t>
            </w:r>
            <w:r>
              <w:rPr>
                <w:rFonts w:hint="eastAsia" w:asciiTheme="minorEastAsia" w:hAnsiTheme="minorEastAsia" w:eastAsiaTheme="minorEastAsia"/>
                <w:sz w:val="24"/>
                <w:u w:val="single"/>
                <w:vertAlign w:val="superscript"/>
              </w:rPr>
              <w:t>3</w:t>
            </w:r>
            <w:r>
              <w:rPr>
                <w:rFonts w:hint="eastAsia" w:asciiTheme="minorEastAsia" w:hAnsiTheme="minorEastAsia" w:eastAsiaTheme="minorEastAsia"/>
                <w:sz w:val="24"/>
                <w:u w:val="single"/>
              </w:rPr>
              <w:t>，</w:t>
            </w:r>
            <w:r>
              <w:rPr>
                <w:rFonts w:asciiTheme="minorEastAsia" w:hAnsiTheme="minorEastAsia" w:eastAsiaTheme="minorEastAsia"/>
                <w:sz w:val="24"/>
              </w:rPr>
              <w:t>可以使垃圾达到脱水、减容、减重的效果,提高运输效率,节约运输成本。全过程密闭的压缩工艺,可以减少环境影响。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138" w:type="dxa"/>
          </w:tcPr>
          <w:p>
            <w:pPr>
              <w:adjustRightInd w:val="0"/>
              <w:snapToGrid w:val="0"/>
              <w:spacing w:line="360" w:lineRule="auto"/>
              <w:rPr>
                <w:rFonts w:asciiTheme="minorEastAsia" w:hAnsiTheme="minorEastAsia" w:eastAsiaTheme="minorEastAsia"/>
                <w:sz w:val="24"/>
              </w:rPr>
            </w:pPr>
            <w:r>
              <w:rPr>
                <w:rFonts w:asciiTheme="minorEastAsia" w:hAnsiTheme="minorEastAsia" w:eastAsiaTheme="minorEastAsia"/>
                <w:b/>
                <w:sz w:val="24"/>
              </w:rPr>
              <w:t xml:space="preserve">5.1.4 </w:t>
            </w:r>
            <w:r>
              <w:rPr>
                <w:rFonts w:asciiTheme="minorEastAsia" w:hAnsiTheme="minorEastAsia" w:eastAsiaTheme="minorEastAsia"/>
                <w:sz w:val="24"/>
              </w:rPr>
              <w:t>要求根据分类收集的类别要求设置收集箱(或桶),收集箱(桶)的数量应根据分类的垃圾量确定。目前,我国大多采用“</w:t>
            </w:r>
            <w:r>
              <w:rPr>
                <w:rFonts w:asciiTheme="minorEastAsia" w:hAnsiTheme="minorEastAsia" w:eastAsiaTheme="minorEastAsia"/>
                <w:sz w:val="24"/>
                <w:bdr w:val="single" w:color="auto" w:sz="4" w:space="0"/>
              </w:rPr>
              <w:t>大类粗分</w:t>
            </w:r>
            <w:r>
              <w:rPr>
                <w:rFonts w:asciiTheme="minorEastAsia" w:hAnsiTheme="minorEastAsia" w:eastAsiaTheme="minorEastAsia"/>
                <w:sz w:val="24"/>
              </w:rPr>
              <w:t>”的垃圾分类方式，可回收物如塑料、纸张、玻璃、金属等</w:t>
            </w:r>
            <w:r>
              <w:rPr>
                <w:rFonts w:asciiTheme="minorEastAsia" w:hAnsiTheme="minorEastAsia" w:eastAsiaTheme="minorEastAsia"/>
                <w:sz w:val="24"/>
                <w:bdr w:val="single" w:color="auto" w:sz="4" w:space="0"/>
              </w:rPr>
              <w:t>都作为一类</w:t>
            </w:r>
            <w:r>
              <w:rPr>
                <w:rFonts w:asciiTheme="minorEastAsia" w:hAnsiTheme="minorEastAsia" w:eastAsiaTheme="minorEastAsia"/>
                <w:sz w:val="24"/>
              </w:rPr>
              <w:t>进入收集站,在收集站内进行简单分拣后进人废旧物资回收系统。</w:t>
            </w:r>
          </w:p>
          <w:p>
            <w:pPr>
              <w:adjustRightInd w:val="0"/>
              <w:snapToGrid w:val="0"/>
              <w:spacing w:line="360" w:lineRule="auto"/>
              <w:rPr>
                <w:rFonts w:asciiTheme="minorEastAsia" w:hAnsiTheme="minorEastAsia" w:eastAsiaTheme="minorEastAsia"/>
                <w:b/>
                <w:sz w:val="24"/>
              </w:rPr>
            </w:pPr>
          </w:p>
        </w:tc>
        <w:tc>
          <w:tcPr>
            <w:tcW w:w="4138" w:type="dxa"/>
          </w:tcPr>
          <w:p>
            <w:pPr>
              <w:adjustRightInd w:val="0"/>
              <w:snapToGrid w:val="0"/>
              <w:spacing w:line="360" w:lineRule="auto"/>
              <w:rPr>
                <w:rFonts w:asciiTheme="minorEastAsia" w:hAnsiTheme="minorEastAsia" w:eastAsiaTheme="minorEastAsia"/>
                <w:sz w:val="24"/>
              </w:rPr>
            </w:pPr>
            <w:r>
              <w:rPr>
                <w:rFonts w:asciiTheme="minorEastAsia" w:hAnsiTheme="minorEastAsia" w:eastAsiaTheme="minorEastAsia"/>
                <w:b/>
                <w:sz w:val="24"/>
              </w:rPr>
              <w:t xml:space="preserve">5.1.4 </w:t>
            </w:r>
            <w:r>
              <w:rPr>
                <w:rFonts w:asciiTheme="minorEastAsia" w:hAnsiTheme="minorEastAsia" w:eastAsiaTheme="minorEastAsia"/>
                <w:sz w:val="24"/>
              </w:rPr>
              <w:t>要求根据分类收集的类别要求设置收集箱(或桶),收集箱(桶)的数量应根据分类的垃圾量确定。目前,我国大多采用“</w:t>
            </w:r>
            <w:r>
              <w:rPr>
                <w:rFonts w:asciiTheme="minorEastAsia" w:hAnsiTheme="minorEastAsia" w:eastAsiaTheme="minorEastAsia"/>
                <w:sz w:val="24"/>
                <w:u w:val="single"/>
              </w:rPr>
              <w:t>四分法</w:t>
            </w:r>
            <w:r>
              <w:rPr>
                <w:rFonts w:asciiTheme="minorEastAsia" w:hAnsiTheme="minorEastAsia" w:eastAsiaTheme="minorEastAsia"/>
                <w:sz w:val="24"/>
              </w:rPr>
              <w:t>”的垃圾分类方式，可回收物如塑料、纸张、玻璃、金属等进入收集站,在收集站内进行简单分拣后进人废旧物资回收系统。</w:t>
            </w:r>
          </w:p>
          <w:p>
            <w:pPr>
              <w:spacing w:line="360" w:lineRule="auto"/>
              <w:rPr>
                <w:rFonts w:asciiTheme="minorEastAsia" w:hAnsiTheme="minorEastAsia" w:eastAsiaTheme="minorEastAsia"/>
                <w:b/>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138" w:type="dxa"/>
          </w:tcPr>
          <w:p>
            <w:pPr>
              <w:pStyle w:val="46"/>
              <w:spacing w:line="360" w:lineRule="auto"/>
              <w:rPr>
                <w:rFonts w:asciiTheme="minorEastAsia" w:hAnsiTheme="minorEastAsia" w:eastAsiaTheme="minorEastAsia"/>
                <w:kern w:val="2"/>
                <w:sz w:val="24"/>
                <w:szCs w:val="24"/>
              </w:rPr>
            </w:pPr>
            <w:r>
              <w:rPr>
                <w:rFonts w:hint="eastAsia" w:asciiTheme="minorEastAsia" w:hAnsiTheme="minorEastAsia" w:eastAsiaTheme="minorEastAsia"/>
                <w:b/>
                <w:kern w:val="2"/>
                <w:sz w:val="24"/>
                <w:szCs w:val="24"/>
              </w:rPr>
              <w:t xml:space="preserve">7.1.3 </w:t>
            </w:r>
            <w:r>
              <w:rPr>
                <w:rFonts w:hint="eastAsia" w:asciiTheme="minorEastAsia" w:hAnsiTheme="minorEastAsia" w:eastAsiaTheme="minorEastAsia"/>
                <w:kern w:val="2"/>
                <w:sz w:val="24"/>
                <w:szCs w:val="24"/>
              </w:rPr>
              <w:t xml:space="preserve"> 本条明确了收集站需达到的除尘除臭效果。</w:t>
            </w:r>
          </w:p>
          <w:p>
            <w:pPr>
              <w:adjustRightInd w:val="0"/>
              <w:snapToGrid w:val="0"/>
              <w:spacing w:line="360" w:lineRule="auto"/>
              <w:rPr>
                <w:rFonts w:asciiTheme="minorEastAsia" w:hAnsiTheme="minorEastAsia" w:eastAsiaTheme="minorEastAsia"/>
                <w:b/>
                <w:sz w:val="24"/>
              </w:rPr>
            </w:pPr>
            <w:r>
              <w:rPr>
                <w:rFonts w:hint="eastAsia" w:asciiTheme="minorEastAsia" w:hAnsiTheme="minorEastAsia" w:eastAsiaTheme="minorEastAsia"/>
                <w:sz w:val="24"/>
                <w:bdr w:val="single" w:color="auto" w:sz="4" w:space="0"/>
              </w:rPr>
              <w:t>其中硫化氢室外限值采用《恶臭污染排放标准》GB 14554厂界标准值一级标准，室内限值采用《工作场所有害因素职业接触限值》GBZ 2最高容许浓度；氨室外限值采用《恶臭污染排放标准》GB 14554厂界标准值一级标准，室内限值采用《工作场所有害因素职业接触限值》GBZ 2时间加权平均容许浓度；考虑到已建成的收集站采取除臭措施的难度，臭气浓度采用《恶臭污染排放标准》GB 14554厂界标准值二级新改扩建标准；总悬浮颗粒物及可吸入颗粒物的室外限值采取《环境空气质量标准》GB 3095三级日平均值。</w:t>
            </w:r>
          </w:p>
        </w:tc>
        <w:tc>
          <w:tcPr>
            <w:tcW w:w="4138" w:type="dxa"/>
          </w:tcPr>
          <w:p>
            <w:pPr>
              <w:pStyle w:val="46"/>
              <w:spacing w:line="360" w:lineRule="auto"/>
              <w:rPr>
                <w:rFonts w:asciiTheme="minorEastAsia" w:hAnsiTheme="minorEastAsia" w:eastAsiaTheme="minorEastAsia"/>
                <w:color w:val="000000" w:themeColor="text1"/>
                <w:kern w:val="2"/>
                <w:sz w:val="24"/>
                <w:szCs w:val="24"/>
                <w14:textFill>
                  <w14:solidFill>
                    <w14:schemeClr w14:val="tx1"/>
                  </w14:solidFill>
                </w14:textFill>
              </w:rPr>
            </w:pPr>
            <w:r>
              <w:rPr>
                <w:rFonts w:hint="eastAsia" w:asciiTheme="minorEastAsia" w:hAnsiTheme="minorEastAsia" w:eastAsiaTheme="minorEastAsia"/>
                <w:b/>
                <w:color w:val="000000" w:themeColor="text1"/>
                <w:kern w:val="2"/>
                <w:sz w:val="24"/>
                <w:szCs w:val="24"/>
                <w14:textFill>
                  <w14:solidFill>
                    <w14:schemeClr w14:val="tx1"/>
                  </w14:solidFill>
                </w14:textFill>
              </w:rPr>
              <w:t>7.1.3</w:t>
            </w:r>
            <w:r>
              <w:rPr>
                <w:rFonts w:asciiTheme="minorEastAsia" w:hAnsiTheme="minorEastAsia" w:eastAsiaTheme="minorEastAsia"/>
                <w:b/>
                <w:color w:val="000000" w:themeColor="text1"/>
                <w:kern w:val="2"/>
                <w:sz w:val="24"/>
                <w:szCs w:val="24"/>
                <w14:textFill>
                  <w14:solidFill>
                    <w14:schemeClr w14:val="tx1"/>
                  </w14:solidFill>
                </w14:textFill>
              </w:rPr>
              <w:t xml:space="preserve">  </w:t>
            </w:r>
            <w:r>
              <w:rPr>
                <w:rFonts w:hint="eastAsia" w:asciiTheme="minorEastAsia" w:hAnsiTheme="minorEastAsia" w:eastAsiaTheme="minorEastAsia"/>
                <w:color w:val="000000" w:themeColor="text1"/>
                <w:kern w:val="2"/>
                <w:sz w:val="24"/>
                <w:szCs w:val="24"/>
                <w14:textFill>
                  <w14:solidFill>
                    <w14:schemeClr w14:val="tx1"/>
                  </w14:solidFill>
                </w14:textFill>
              </w:rPr>
              <w:t>本条明确了收集站需达到的除尘除臭效果。</w:t>
            </w:r>
          </w:p>
          <w:p>
            <w:pPr>
              <w:pStyle w:val="46"/>
              <w:spacing w:line="360" w:lineRule="auto"/>
              <w:rPr>
                <w:rFonts w:asciiTheme="minorEastAsia" w:hAnsiTheme="minorEastAsia" w:eastAsiaTheme="minorEastAsia"/>
                <w:b/>
                <w:sz w:val="24"/>
                <w:szCs w:val="24"/>
                <w:highlight w:val="yellow"/>
              </w:rPr>
            </w:pPr>
            <w:r>
              <w:rPr>
                <w:rFonts w:hint="eastAsia" w:asciiTheme="minorEastAsia" w:hAnsiTheme="minorEastAsia" w:eastAsiaTheme="minorEastAsia"/>
                <w:color w:val="000000" w:themeColor="text1"/>
                <w:kern w:val="2"/>
                <w:sz w:val="24"/>
                <w:szCs w:val="24"/>
                <w:u w:val="single"/>
                <w14:textFill>
                  <w14:solidFill>
                    <w14:schemeClr w14:val="tx1"/>
                  </w14:solidFill>
                </w14:textFill>
              </w:rPr>
              <w:t>收集站除尘除臭效果室外应符合《恶臭污染排放标准》GB14554的相关要求。</w:t>
            </w:r>
          </w:p>
        </w:tc>
      </w:tr>
    </w:tbl>
    <w:p>
      <w:pPr>
        <w:spacing w:line="360" w:lineRule="auto"/>
        <w:ind w:firstLine="480" w:firstLineChars="200"/>
        <w:rPr>
          <w:rFonts w:ascii="宋体" w:hAnsi="宋体"/>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Verdana">
    <w:panose1 w:val="020B0604030504040204"/>
    <w:charset w:val="00"/>
    <w:family w:val="swiss"/>
    <w:pitch w:val="default"/>
    <w:sig w:usb0="A00006FF" w:usb1="4000205B" w:usb2="0000001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right="180"/>
      <w:jc w:val="right"/>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F53"/>
    <w:rsid w:val="00000217"/>
    <w:rsid w:val="00001413"/>
    <w:rsid w:val="0000169F"/>
    <w:rsid w:val="0000222D"/>
    <w:rsid w:val="000025F2"/>
    <w:rsid w:val="0000263F"/>
    <w:rsid w:val="00002C99"/>
    <w:rsid w:val="00003295"/>
    <w:rsid w:val="00003BD0"/>
    <w:rsid w:val="00004B00"/>
    <w:rsid w:val="000058AB"/>
    <w:rsid w:val="00007B8C"/>
    <w:rsid w:val="0001110D"/>
    <w:rsid w:val="00011FAC"/>
    <w:rsid w:val="00012424"/>
    <w:rsid w:val="000133A2"/>
    <w:rsid w:val="00013F5E"/>
    <w:rsid w:val="00014F3C"/>
    <w:rsid w:val="00015855"/>
    <w:rsid w:val="000173CE"/>
    <w:rsid w:val="0002048F"/>
    <w:rsid w:val="000229FD"/>
    <w:rsid w:val="00022F1B"/>
    <w:rsid w:val="00024845"/>
    <w:rsid w:val="00025699"/>
    <w:rsid w:val="00025C44"/>
    <w:rsid w:val="00025FD5"/>
    <w:rsid w:val="000262D2"/>
    <w:rsid w:val="00026BE6"/>
    <w:rsid w:val="00027349"/>
    <w:rsid w:val="00030183"/>
    <w:rsid w:val="000310CD"/>
    <w:rsid w:val="00032373"/>
    <w:rsid w:val="000329B3"/>
    <w:rsid w:val="000339D1"/>
    <w:rsid w:val="00033A05"/>
    <w:rsid w:val="000347B5"/>
    <w:rsid w:val="000369C8"/>
    <w:rsid w:val="000370D0"/>
    <w:rsid w:val="000374E4"/>
    <w:rsid w:val="00037A77"/>
    <w:rsid w:val="00040474"/>
    <w:rsid w:val="00040892"/>
    <w:rsid w:val="00040C99"/>
    <w:rsid w:val="00040DAA"/>
    <w:rsid w:val="00043786"/>
    <w:rsid w:val="00044049"/>
    <w:rsid w:val="0004764C"/>
    <w:rsid w:val="00050FE5"/>
    <w:rsid w:val="00051E85"/>
    <w:rsid w:val="00052D7A"/>
    <w:rsid w:val="00054BBC"/>
    <w:rsid w:val="000560AF"/>
    <w:rsid w:val="00056671"/>
    <w:rsid w:val="00056DCF"/>
    <w:rsid w:val="00057012"/>
    <w:rsid w:val="00057257"/>
    <w:rsid w:val="00060724"/>
    <w:rsid w:val="0006141D"/>
    <w:rsid w:val="00061631"/>
    <w:rsid w:val="000628AD"/>
    <w:rsid w:val="00063195"/>
    <w:rsid w:val="00064A5D"/>
    <w:rsid w:val="00064B09"/>
    <w:rsid w:val="00064F52"/>
    <w:rsid w:val="000654B8"/>
    <w:rsid w:val="000656ED"/>
    <w:rsid w:val="00065E0F"/>
    <w:rsid w:val="000660C9"/>
    <w:rsid w:val="00070120"/>
    <w:rsid w:val="00070595"/>
    <w:rsid w:val="00070C4D"/>
    <w:rsid w:val="0007139E"/>
    <w:rsid w:val="00072DAB"/>
    <w:rsid w:val="000735A6"/>
    <w:rsid w:val="00074168"/>
    <w:rsid w:val="00076568"/>
    <w:rsid w:val="00080963"/>
    <w:rsid w:val="00081949"/>
    <w:rsid w:val="00081E2C"/>
    <w:rsid w:val="0008259D"/>
    <w:rsid w:val="000825CE"/>
    <w:rsid w:val="0008303C"/>
    <w:rsid w:val="000835F4"/>
    <w:rsid w:val="000842B3"/>
    <w:rsid w:val="00084646"/>
    <w:rsid w:val="000856EB"/>
    <w:rsid w:val="0008605B"/>
    <w:rsid w:val="000863FB"/>
    <w:rsid w:val="000868B0"/>
    <w:rsid w:val="00086B95"/>
    <w:rsid w:val="000872AA"/>
    <w:rsid w:val="0009104D"/>
    <w:rsid w:val="00091053"/>
    <w:rsid w:val="00091B9E"/>
    <w:rsid w:val="000927F7"/>
    <w:rsid w:val="00092A22"/>
    <w:rsid w:val="0009317F"/>
    <w:rsid w:val="000933EF"/>
    <w:rsid w:val="00093586"/>
    <w:rsid w:val="0009550D"/>
    <w:rsid w:val="000971CA"/>
    <w:rsid w:val="000A0758"/>
    <w:rsid w:val="000A189F"/>
    <w:rsid w:val="000A1B5E"/>
    <w:rsid w:val="000A30BF"/>
    <w:rsid w:val="000A34F0"/>
    <w:rsid w:val="000A3565"/>
    <w:rsid w:val="000A3E95"/>
    <w:rsid w:val="000A45EB"/>
    <w:rsid w:val="000A45FC"/>
    <w:rsid w:val="000A49A9"/>
    <w:rsid w:val="000A4E27"/>
    <w:rsid w:val="000A7FB5"/>
    <w:rsid w:val="000B0FF4"/>
    <w:rsid w:val="000B4BE8"/>
    <w:rsid w:val="000B50CC"/>
    <w:rsid w:val="000B537A"/>
    <w:rsid w:val="000B554E"/>
    <w:rsid w:val="000B63FF"/>
    <w:rsid w:val="000B644F"/>
    <w:rsid w:val="000B7491"/>
    <w:rsid w:val="000C0A6C"/>
    <w:rsid w:val="000C0CDD"/>
    <w:rsid w:val="000C145A"/>
    <w:rsid w:val="000C1848"/>
    <w:rsid w:val="000C1E8A"/>
    <w:rsid w:val="000C21E3"/>
    <w:rsid w:val="000C3856"/>
    <w:rsid w:val="000C39D6"/>
    <w:rsid w:val="000C43E9"/>
    <w:rsid w:val="000C4951"/>
    <w:rsid w:val="000C5BD5"/>
    <w:rsid w:val="000C5F46"/>
    <w:rsid w:val="000C6181"/>
    <w:rsid w:val="000C7C2C"/>
    <w:rsid w:val="000D0840"/>
    <w:rsid w:val="000D0996"/>
    <w:rsid w:val="000D0BDA"/>
    <w:rsid w:val="000D3F90"/>
    <w:rsid w:val="000D4592"/>
    <w:rsid w:val="000D53F0"/>
    <w:rsid w:val="000D5743"/>
    <w:rsid w:val="000D5BBF"/>
    <w:rsid w:val="000D6092"/>
    <w:rsid w:val="000D64A8"/>
    <w:rsid w:val="000D736F"/>
    <w:rsid w:val="000E0F51"/>
    <w:rsid w:val="000E25E7"/>
    <w:rsid w:val="000E262F"/>
    <w:rsid w:val="000E3925"/>
    <w:rsid w:val="000E42A0"/>
    <w:rsid w:val="000E5031"/>
    <w:rsid w:val="000E5ED9"/>
    <w:rsid w:val="000E6A1D"/>
    <w:rsid w:val="000F0FEB"/>
    <w:rsid w:val="000F1236"/>
    <w:rsid w:val="000F265D"/>
    <w:rsid w:val="000F26D4"/>
    <w:rsid w:val="000F2708"/>
    <w:rsid w:val="000F2E97"/>
    <w:rsid w:val="000F2F38"/>
    <w:rsid w:val="000F3241"/>
    <w:rsid w:val="000F39B3"/>
    <w:rsid w:val="000F4E29"/>
    <w:rsid w:val="000F4E5E"/>
    <w:rsid w:val="000F626E"/>
    <w:rsid w:val="000F7927"/>
    <w:rsid w:val="00101B13"/>
    <w:rsid w:val="0010341B"/>
    <w:rsid w:val="001039E0"/>
    <w:rsid w:val="00103BED"/>
    <w:rsid w:val="00103F13"/>
    <w:rsid w:val="00104327"/>
    <w:rsid w:val="001049A9"/>
    <w:rsid w:val="00104CD5"/>
    <w:rsid w:val="001072A9"/>
    <w:rsid w:val="00110EB6"/>
    <w:rsid w:val="0011207C"/>
    <w:rsid w:val="00113F32"/>
    <w:rsid w:val="001141B4"/>
    <w:rsid w:val="0011662E"/>
    <w:rsid w:val="00116C2B"/>
    <w:rsid w:val="00116E24"/>
    <w:rsid w:val="00117029"/>
    <w:rsid w:val="0011758B"/>
    <w:rsid w:val="00117684"/>
    <w:rsid w:val="00117ADA"/>
    <w:rsid w:val="00120134"/>
    <w:rsid w:val="001207A8"/>
    <w:rsid w:val="001207E7"/>
    <w:rsid w:val="00120DE9"/>
    <w:rsid w:val="00120E2D"/>
    <w:rsid w:val="00121E6E"/>
    <w:rsid w:val="00122CFF"/>
    <w:rsid w:val="00123916"/>
    <w:rsid w:val="00124233"/>
    <w:rsid w:val="001269C6"/>
    <w:rsid w:val="00127236"/>
    <w:rsid w:val="001277C0"/>
    <w:rsid w:val="00127DEC"/>
    <w:rsid w:val="00130AD2"/>
    <w:rsid w:val="001319AF"/>
    <w:rsid w:val="0013283F"/>
    <w:rsid w:val="00132BBF"/>
    <w:rsid w:val="001341DA"/>
    <w:rsid w:val="00134243"/>
    <w:rsid w:val="00134F42"/>
    <w:rsid w:val="00137345"/>
    <w:rsid w:val="00137963"/>
    <w:rsid w:val="001402B1"/>
    <w:rsid w:val="0014075C"/>
    <w:rsid w:val="00141354"/>
    <w:rsid w:val="00142CB5"/>
    <w:rsid w:val="00144062"/>
    <w:rsid w:val="00145376"/>
    <w:rsid w:val="0014550D"/>
    <w:rsid w:val="001455D0"/>
    <w:rsid w:val="00145A2B"/>
    <w:rsid w:val="00146C58"/>
    <w:rsid w:val="00146F30"/>
    <w:rsid w:val="00147D03"/>
    <w:rsid w:val="00150EA9"/>
    <w:rsid w:val="0015196C"/>
    <w:rsid w:val="001532E5"/>
    <w:rsid w:val="0015392D"/>
    <w:rsid w:val="001540B9"/>
    <w:rsid w:val="001547C4"/>
    <w:rsid w:val="00155929"/>
    <w:rsid w:val="00155E99"/>
    <w:rsid w:val="00156A24"/>
    <w:rsid w:val="001577D4"/>
    <w:rsid w:val="001579DD"/>
    <w:rsid w:val="00160015"/>
    <w:rsid w:val="00162FD8"/>
    <w:rsid w:val="00163D0D"/>
    <w:rsid w:val="00163EF2"/>
    <w:rsid w:val="00165184"/>
    <w:rsid w:val="00165198"/>
    <w:rsid w:val="00166053"/>
    <w:rsid w:val="00170662"/>
    <w:rsid w:val="00170DE5"/>
    <w:rsid w:val="00171D53"/>
    <w:rsid w:val="00172222"/>
    <w:rsid w:val="00172451"/>
    <w:rsid w:val="0017395C"/>
    <w:rsid w:val="00174F6C"/>
    <w:rsid w:val="00175CE4"/>
    <w:rsid w:val="00175DA7"/>
    <w:rsid w:val="001766B7"/>
    <w:rsid w:val="001772D5"/>
    <w:rsid w:val="001778FB"/>
    <w:rsid w:val="00181143"/>
    <w:rsid w:val="00183A95"/>
    <w:rsid w:val="00183CF9"/>
    <w:rsid w:val="001860DD"/>
    <w:rsid w:val="00186C44"/>
    <w:rsid w:val="00186EFC"/>
    <w:rsid w:val="00187EF3"/>
    <w:rsid w:val="00192341"/>
    <w:rsid w:val="0019254E"/>
    <w:rsid w:val="001925D0"/>
    <w:rsid w:val="00192A80"/>
    <w:rsid w:val="0019316E"/>
    <w:rsid w:val="00194FB5"/>
    <w:rsid w:val="0019548C"/>
    <w:rsid w:val="00195535"/>
    <w:rsid w:val="0019631D"/>
    <w:rsid w:val="0019657E"/>
    <w:rsid w:val="00197350"/>
    <w:rsid w:val="001A079C"/>
    <w:rsid w:val="001A0B85"/>
    <w:rsid w:val="001A0BC9"/>
    <w:rsid w:val="001A15E8"/>
    <w:rsid w:val="001A3246"/>
    <w:rsid w:val="001A3505"/>
    <w:rsid w:val="001A3989"/>
    <w:rsid w:val="001A3D02"/>
    <w:rsid w:val="001A4CD0"/>
    <w:rsid w:val="001A4EE7"/>
    <w:rsid w:val="001A5765"/>
    <w:rsid w:val="001A6225"/>
    <w:rsid w:val="001A7517"/>
    <w:rsid w:val="001B07CD"/>
    <w:rsid w:val="001B0E6D"/>
    <w:rsid w:val="001B3296"/>
    <w:rsid w:val="001B3859"/>
    <w:rsid w:val="001B4212"/>
    <w:rsid w:val="001B659A"/>
    <w:rsid w:val="001B67B2"/>
    <w:rsid w:val="001B789F"/>
    <w:rsid w:val="001C0FD9"/>
    <w:rsid w:val="001C1420"/>
    <w:rsid w:val="001C1C2F"/>
    <w:rsid w:val="001C1CFD"/>
    <w:rsid w:val="001C2215"/>
    <w:rsid w:val="001C3BE1"/>
    <w:rsid w:val="001C4C3A"/>
    <w:rsid w:val="001C5738"/>
    <w:rsid w:val="001C5AE6"/>
    <w:rsid w:val="001C5E35"/>
    <w:rsid w:val="001C6260"/>
    <w:rsid w:val="001C733E"/>
    <w:rsid w:val="001C79FC"/>
    <w:rsid w:val="001D0201"/>
    <w:rsid w:val="001D1AF0"/>
    <w:rsid w:val="001D66E4"/>
    <w:rsid w:val="001D6B40"/>
    <w:rsid w:val="001E013F"/>
    <w:rsid w:val="001E0BE2"/>
    <w:rsid w:val="001E1D03"/>
    <w:rsid w:val="001E22D4"/>
    <w:rsid w:val="001E2453"/>
    <w:rsid w:val="001E2FD2"/>
    <w:rsid w:val="001E3859"/>
    <w:rsid w:val="001E41CC"/>
    <w:rsid w:val="001E4240"/>
    <w:rsid w:val="001E4B64"/>
    <w:rsid w:val="001E4EB5"/>
    <w:rsid w:val="001E5477"/>
    <w:rsid w:val="001E584F"/>
    <w:rsid w:val="001E72E9"/>
    <w:rsid w:val="001E7E73"/>
    <w:rsid w:val="001F0B07"/>
    <w:rsid w:val="001F0BE9"/>
    <w:rsid w:val="001F169E"/>
    <w:rsid w:val="001F1E1E"/>
    <w:rsid w:val="001F4A5A"/>
    <w:rsid w:val="001F4B65"/>
    <w:rsid w:val="001F4D91"/>
    <w:rsid w:val="001F5B3B"/>
    <w:rsid w:val="001F5F46"/>
    <w:rsid w:val="001F5FF0"/>
    <w:rsid w:val="001F69CC"/>
    <w:rsid w:val="001F7B78"/>
    <w:rsid w:val="001F7C21"/>
    <w:rsid w:val="00203012"/>
    <w:rsid w:val="002030E1"/>
    <w:rsid w:val="00203547"/>
    <w:rsid w:val="00203888"/>
    <w:rsid w:val="00203B01"/>
    <w:rsid w:val="0020467B"/>
    <w:rsid w:val="002049FF"/>
    <w:rsid w:val="00206A45"/>
    <w:rsid w:val="002072FE"/>
    <w:rsid w:val="00210026"/>
    <w:rsid w:val="0021039F"/>
    <w:rsid w:val="00211B36"/>
    <w:rsid w:val="00214B06"/>
    <w:rsid w:val="00216049"/>
    <w:rsid w:val="002164CB"/>
    <w:rsid w:val="00220AB4"/>
    <w:rsid w:val="00220FA5"/>
    <w:rsid w:val="00221ADE"/>
    <w:rsid w:val="00221EF3"/>
    <w:rsid w:val="00224ABD"/>
    <w:rsid w:val="00231273"/>
    <w:rsid w:val="00231A04"/>
    <w:rsid w:val="00232663"/>
    <w:rsid w:val="00233238"/>
    <w:rsid w:val="00234145"/>
    <w:rsid w:val="0023447F"/>
    <w:rsid w:val="002344FA"/>
    <w:rsid w:val="00236729"/>
    <w:rsid w:val="00236C16"/>
    <w:rsid w:val="00236F7A"/>
    <w:rsid w:val="0023746A"/>
    <w:rsid w:val="0024035E"/>
    <w:rsid w:val="0024048D"/>
    <w:rsid w:val="00240CB9"/>
    <w:rsid w:val="00241010"/>
    <w:rsid w:val="00242EFB"/>
    <w:rsid w:val="00242F49"/>
    <w:rsid w:val="00243DEC"/>
    <w:rsid w:val="002451C0"/>
    <w:rsid w:val="00245211"/>
    <w:rsid w:val="002463D3"/>
    <w:rsid w:val="00246E17"/>
    <w:rsid w:val="002472CA"/>
    <w:rsid w:val="00247AA9"/>
    <w:rsid w:val="00250777"/>
    <w:rsid w:val="002508EE"/>
    <w:rsid w:val="00250AA3"/>
    <w:rsid w:val="00250D95"/>
    <w:rsid w:val="00252919"/>
    <w:rsid w:val="00253578"/>
    <w:rsid w:val="002552DE"/>
    <w:rsid w:val="00260BAE"/>
    <w:rsid w:val="00260F37"/>
    <w:rsid w:val="00261EE1"/>
    <w:rsid w:val="0026297A"/>
    <w:rsid w:val="00262FBA"/>
    <w:rsid w:val="002637B3"/>
    <w:rsid w:val="002639FF"/>
    <w:rsid w:val="00263A40"/>
    <w:rsid w:val="00263DF7"/>
    <w:rsid w:val="002640F7"/>
    <w:rsid w:val="0026449B"/>
    <w:rsid w:val="00264818"/>
    <w:rsid w:val="00265BDA"/>
    <w:rsid w:val="00266743"/>
    <w:rsid w:val="002674D1"/>
    <w:rsid w:val="00267BD9"/>
    <w:rsid w:val="00270752"/>
    <w:rsid w:val="0027117E"/>
    <w:rsid w:val="002711E9"/>
    <w:rsid w:val="002714EB"/>
    <w:rsid w:val="00272CA1"/>
    <w:rsid w:val="00273B8E"/>
    <w:rsid w:val="00274EF0"/>
    <w:rsid w:val="002753FA"/>
    <w:rsid w:val="00275485"/>
    <w:rsid w:val="00275F65"/>
    <w:rsid w:val="00276243"/>
    <w:rsid w:val="00280620"/>
    <w:rsid w:val="00281F72"/>
    <w:rsid w:val="0028239B"/>
    <w:rsid w:val="00285FCF"/>
    <w:rsid w:val="00286CD4"/>
    <w:rsid w:val="00287543"/>
    <w:rsid w:val="0029164F"/>
    <w:rsid w:val="002920CC"/>
    <w:rsid w:val="00293438"/>
    <w:rsid w:val="00293609"/>
    <w:rsid w:val="0029476E"/>
    <w:rsid w:val="002956E1"/>
    <w:rsid w:val="00297199"/>
    <w:rsid w:val="002971B9"/>
    <w:rsid w:val="00297420"/>
    <w:rsid w:val="002976BE"/>
    <w:rsid w:val="0029796A"/>
    <w:rsid w:val="002A14A9"/>
    <w:rsid w:val="002A1D88"/>
    <w:rsid w:val="002A3893"/>
    <w:rsid w:val="002A5152"/>
    <w:rsid w:val="002A5EBD"/>
    <w:rsid w:val="002A623F"/>
    <w:rsid w:val="002A62AA"/>
    <w:rsid w:val="002A7523"/>
    <w:rsid w:val="002A765A"/>
    <w:rsid w:val="002A7D5E"/>
    <w:rsid w:val="002B0DC1"/>
    <w:rsid w:val="002B0FCF"/>
    <w:rsid w:val="002B1432"/>
    <w:rsid w:val="002B2DC8"/>
    <w:rsid w:val="002B45B0"/>
    <w:rsid w:val="002B5070"/>
    <w:rsid w:val="002B5225"/>
    <w:rsid w:val="002B6266"/>
    <w:rsid w:val="002B6577"/>
    <w:rsid w:val="002B68F5"/>
    <w:rsid w:val="002B7C94"/>
    <w:rsid w:val="002C04F0"/>
    <w:rsid w:val="002C0EAD"/>
    <w:rsid w:val="002C196F"/>
    <w:rsid w:val="002C1F78"/>
    <w:rsid w:val="002C47BB"/>
    <w:rsid w:val="002C4AFA"/>
    <w:rsid w:val="002C5212"/>
    <w:rsid w:val="002C5EF1"/>
    <w:rsid w:val="002C68B9"/>
    <w:rsid w:val="002C6B16"/>
    <w:rsid w:val="002C75B4"/>
    <w:rsid w:val="002C7EBE"/>
    <w:rsid w:val="002D036D"/>
    <w:rsid w:val="002D05C1"/>
    <w:rsid w:val="002D1C5F"/>
    <w:rsid w:val="002D29F8"/>
    <w:rsid w:val="002D3AA4"/>
    <w:rsid w:val="002D4146"/>
    <w:rsid w:val="002D51B7"/>
    <w:rsid w:val="002D5702"/>
    <w:rsid w:val="002D5935"/>
    <w:rsid w:val="002D7C76"/>
    <w:rsid w:val="002D7F65"/>
    <w:rsid w:val="002E003B"/>
    <w:rsid w:val="002E1308"/>
    <w:rsid w:val="002E1476"/>
    <w:rsid w:val="002E262D"/>
    <w:rsid w:val="002E3FC9"/>
    <w:rsid w:val="002E52D3"/>
    <w:rsid w:val="002E5593"/>
    <w:rsid w:val="002E6110"/>
    <w:rsid w:val="002E7B4E"/>
    <w:rsid w:val="002E7BED"/>
    <w:rsid w:val="002F19D0"/>
    <w:rsid w:val="002F1F4D"/>
    <w:rsid w:val="002F2B93"/>
    <w:rsid w:val="002F2D3A"/>
    <w:rsid w:val="002F32FF"/>
    <w:rsid w:val="002F44BE"/>
    <w:rsid w:val="002F4F30"/>
    <w:rsid w:val="002F58A5"/>
    <w:rsid w:val="002F66D3"/>
    <w:rsid w:val="002F73F0"/>
    <w:rsid w:val="002F7BAB"/>
    <w:rsid w:val="003004C3"/>
    <w:rsid w:val="00300F5D"/>
    <w:rsid w:val="003020FB"/>
    <w:rsid w:val="003049D3"/>
    <w:rsid w:val="00305B7F"/>
    <w:rsid w:val="00305D9E"/>
    <w:rsid w:val="00306CE7"/>
    <w:rsid w:val="00306EA0"/>
    <w:rsid w:val="00306F06"/>
    <w:rsid w:val="003075BE"/>
    <w:rsid w:val="00307F26"/>
    <w:rsid w:val="003102D7"/>
    <w:rsid w:val="00310CED"/>
    <w:rsid w:val="0031171A"/>
    <w:rsid w:val="00311E94"/>
    <w:rsid w:val="00312B2D"/>
    <w:rsid w:val="00312E10"/>
    <w:rsid w:val="003135D6"/>
    <w:rsid w:val="0031434D"/>
    <w:rsid w:val="00314AEB"/>
    <w:rsid w:val="003154B9"/>
    <w:rsid w:val="003157F9"/>
    <w:rsid w:val="00316721"/>
    <w:rsid w:val="00316E7C"/>
    <w:rsid w:val="00317458"/>
    <w:rsid w:val="003205F8"/>
    <w:rsid w:val="00321454"/>
    <w:rsid w:val="003214A9"/>
    <w:rsid w:val="00322AAC"/>
    <w:rsid w:val="003234B7"/>
    <w:rsid w:val="003251DF"/>
    <w:rsid w:val="00325660"/>
    <w:rsid w:val="00325984"/>
    <w:rsid w:val="0032684C"/>
    <w:rsid w:val="0033017E"/>
    <w:rsid w:val="00330314"/>
    <w:rsid w:val="00331F6A"/>
    <w:rsid w:val="003333CF"/>
    <w:rsid w:val="00333B6C"/>
    <w:rsid w:val="0033484A"/>
    <w:rsid w:val="00334AFB"/>
    <w:rsid w:val="00334DF0"/>
    <w:rsid w:val="00334F48"/>
    <w:rsid w:val="00335E6C"/>
    <w:rsid w:val="00337FA1"/>
    <w:rsid w:val="00340111"/>
    <w:rsid w:val="00341ABD"/>
    <w:rsid w:val="00342598"/>
    <w:rsid w:val="00346268"/>
    <w:rsid w:val="003464F9"/>
    <w:rsid w:val="00346DEA"/>
    <w:rsid w:val="00347684"/>
    <w:rsid w:val="00347804"/>
    <w:rsid w:val="0035139A"/>
    <w:rsid w:val="00351A18"/>
    <w:rsid w:val="00351AEE"/>
    <w:rsid w:val="00352F78"/>
    <w:rsid w:val="003530B1"/>
    <w:rsid w:val="0035324E"/>
    <w:rsid w:val="003534AF"/>
    <w:rsid w:val="00353A06"/>
    <w:rsid w:val="00353DE0"/>
    <w:rsid w:val="00354782"/>
    <w:rsid w:val="003549DC"/>
    <w:rsid w:val="00354C25"/>
    <w:rsid w:val="00355DD1"/>
    <w:rsid w:val="00357154"/>
    <w:rsid w:val="0035760B"/>
    <w:rsid w:val="0035777E"/>
    <w:rsid w:val="00357A1E"/>
    <w:rsid w:val="00361A85"/>
    <w:rsid w:val="00363373"/>
    <w:rsid w:val="0036368F"/>
    <w:rsid w:val="003638A5"/>
    <w:rsid w:val="00363FD7"/>
    <w:rsid w:val="00364448"/>
    <w:rsid w:val="0036548F"/>
    <w:rsid w:val="00365A8D"/>
    <w:rsid w:val="00370290"/>
    <w:rsid w:val="00370303"/>
    <w:rsid w:val="003703E6"/>
    <w:rsid w:val="00370748"/>
    <w:rsid w:val="00372765"/>
    <w:rsid w:val="00372955"/>
    <w:rsid w:val="00372ED0"/>
    <w:rsid w:val="00372ED9"/>
    <w:rsid w:val="00374B6D"/>
    <w:rsid w:val="0037503E"/>
    <w:rsid w:val="00375065"/>
    <w:rsid w:val="00376FB1"/>
    <w:rsid w:val="00377DFB"/>
    <w:rsid w:val="0038098B"/>
    <w:rsid w:val="003812B7"/>
    <w:rsid w:val="00381B89"/>
    <w:rsid w:val="00382ECD"/>
    <w:rsid w:val="00383184"/>
    <w:rsid w:val="00384059"/>
    <w:rsid w:val="00385522"/>
    <w:rsid w:val="00385A45"/>
    <w:rsid w:val="003862F0"/>
    <w:rsid w:val="00386FEE"/>
    <w:rsid w:val="00387F78"/>
    <w:rsid w:val="003908F1"/>
    <w:rsid w:val="00391544"/>
    <w:rsid w:val="003938AD"/>
    <w:rsid w:val="00393CB5"/>
    <w:rsid w:val="00394303"/>
    <w:rsid w:val="00394E33"/>
    <w:rsid w:val="00395078"/>
    <w:rsid w:val="003955A7"/>
    <w:rsid w:val="003968FA"/>
    <w:rsid w:val="003A06D1"/>
    <w:rsid w:val="003A1FA8"/>
    <w:rsid w:val="003A20A6"/>
    <w:rsid w:val="003A4837"/>
    <w:rsid w:val="003A5787"/>
    <w:rsid w:val="003A61B8"/>
    <w:rsid w:val="003A62BE"/>
    <w:rsid w:val="003A64DE"/>
    <w:rsid w:val="003A7B42"/>
    <w:rsid w:val="003B0F6C"/>
    <w:rsid w:val="003B1065"/>
    <w:rsid w:val="003B1B17"/>
    <w:rsid w:val="003B2DC4"/>
    <w:rsid w:val="003B33A6"/>
    <w:rsid w:val="003B4233"/>
    <w:rsid w:val="003B45AB"/>
    <w:rsid w:val="003B4BF8"/>
    <w:rsid w:val="003B50C1"/>
    <w:rsid w:val="003B515F"/>
    <w:rsid w:val="003B548B"/>
    <w:rsid w:val="003B6A5A"/>
    <w:rsid w:val="003B7D79"/>
    <w:rsid w:val="003C07F2"/>
    <w:rsid w:val="003C2423"/>
    <w:rsid w:val="003C278B"/>
    <w:rsid w:val="003C30D1"/>
    <w:rsid w:val="003C377C"/>
    <w:rsid w:val="003C5956"/>
    <w:rsid w:val="003C7CD0"/>
    <w:rsid w:val="003D197F"/>
    <w:rsid w:val="003D2E27"/>
    <w:rsid w:val="003D3A85"/>
    <w:rsid w:val="003D5221"/>
    <w:rsid w:val="003D6444"/>
    <w:rsid w:val="003D6D63"/>
    <w:rsid w:val="003E0483"/>
    <w:rsid w:val="003E1079"/>
    <w:rsid w:val="003E359C"/>
    <w:rsid w:val="003E3FD8"/>
    <w:rsid w:val="003E452D"/>
    <w:rsid w:val="003E5626"/>
    <w:rsid w:val="003E6069"/>
    <w:rsid w:val="003E6505"/>
    <w:rsid w:val="003E67DD"/>
    <w:rsid w:val="003F0250"/>
    <w:rsid w:val="003F2EF7"/>
    <w:rsid w:val="003F47BF"/>
    <w:rsid w:val="003F4BA4"/>
    <w:rsid w:val="003F4F8A"/>
    <w:rsid w:val="003F5AF3"/>
    <w:rsid w:val="003F61EF"/>
    <w:rsid w:val="003F7C83"/>
    <w:rsid w:val="0040042D"/>
    <w:rsid w:val="00400743"/>
    <w:rsid w:val="00402557"/>
    <w:rsid w:val="004042E3"/>
    <w:rsid w:val="00405592"/>
    <w:rsid w:val="004059B8"/>
    <w:rsid w:val="004065D9"/>
    <w:rsid w:val="004119A1"/>
    <w:rsid w:val="00412202"/>
    <w:rsid w:val="00412255"/>
    <w:rsid w:val="00413141"/>
    <w:rsid w:val="0041314A"/>
    <w:rsid w:val="00414910"/>
    <w:rsid w:val="00415609"/>
    <w:rsid w:val="00415F8E"/>
    <w:rsid w:val="0041608E"/>
    <w:rsid w:val="00420772"/>
    <w:rsid w:val="0042159B"/>
    <w:rsid w:val="004219D8"/>
    <w:rsid w:val="0042323C"/>
    <w:rsid w:val="00423330"/>
    <w:rsid w:val="00423965"/>
    <w:rsid w:val="004242BA"/>
    <w:rsid w:val="00425AD9"/>
    <w:rsid w:val="00426F82"/>
    <w:rsid w:val="0042718C"/>
    <w:rsid w:val="004276CC"/>
    <w:rsid w:val="00430269"/>
    <w:rsid w:val="004307F2"/>
    <w:rsid w:val="0043102C"/>
    <w:rsid w:val="00431461"/>
    <w:rsid w:val="00432AE1"/>
    <w:rsid w:val="00433341"/>
    <w:rsid w:val="00433356"/>
    <w:rsid w:val="00435371"/>
    <w:rsid w:val="00436B64"/>
    <w:rsid w:val="00441B76"/>
    <w:rsid w:val="00442A9B"/>
    <w:rsid w:val="00443952"/>
    <w:rsid w:val="004506BE"/>
    <w:rsid w:val="00451496"/>
    <w:rsid w:val="0045184A"/>
    <w:rsid w:val="00452579"/>
    <w:rsid w:val="00452801"/>
    <w:rsid w:val="00452D4A"/>
    <w:rsid w:val="00453315"/>
    <w:rsid w:val="0045494F"/>
    <w:rsid w:val="00454EF4"/>
    <w:rsid w:val="004551D9"/>
    <w:rsid w:val="004556A4"/>
    <w:rsid w:val="00456243"/>
    <w:rsid w:val="00456E0B"/>
    <w:rsid w:val="00457A52"/>
    <w:rsid w:val="00457B69"/>
    <w:rsid w:val="004605D7"/>
    <w:rsid w:val="00461853"/>
    <w:rsid w:val="00461A2A"/>
    <w:rsid w:val="00461BE3"/>
    <w:rsid w:val="00464136"/>
    <w:rsid w:val="004649FF"/>
    <w:rsid w:val="00465D92"/>
    <w:rsid w:val="0046701A"/>
    <w:rsid w:val="004703D8"/>
    <w:rsid w:val="00470FB8"/>
    <w:rsid w:val="004711EE"/>
    <w:rsid w:val="00473C1E"/>
    <w:rsid w:val="00476E5E"/>
    <w:rsid w:val="00477869"/>
    <w:rsid w:val="00481DD1"/>
    <w:rsid w:val="004832AF"/>
    <w:rsid w:val="004834D4"/>
    <w:rsid w:val="0048513F"/>
    <w:rsid w:val="0048533F"/>
    <w:rsid w:val="004853E1"/>
    <w:rsid w:val="0048761A"/>
    <w:rsid w:val="00487BF5"/>
    <w:rsid w:val="00491626"/>
    <w:rsid w:val="00491D44"/>
    <w:rsid w:val="00492EFA"/>
    <w:rsid w:val="00492FBD"/>
    <w:rsid w:val="00492FFD"/>
    <w:rsid w:val="00493A21"/>
    <w:rsid w:val="00493D4E"/>
    <w:rsid w:val="00493DA7"/>
    <w:rsid w:val="004952D6"/>
    <w:rsid w:val="00496672"/>
    <w:rsid w:val="00496676"/>
    <w:rsid w:val="004A25D6"/>
    <w:rsid w:val="004A27EA"/>
    <w:rsid w:val="004A297D"/>
    <w:rsid w:val="004A45DC"/>
    <w:rsid w:val="004A690B"/>
    <w:rsid w:val="004A732E"/>
    <w:rsid w:val="004B214B"/>
    <w:rsid w:val="004B2EC3"/>
    <w:rsid w:val="004B3238"/>
    <w:rsid w:val="004B4144"/>
    <w:rsid w:val="004B4862"/>
    <w:rsid w:val="004B52A6"/>
    <w:rsid w:val="004B55B5"/>
    <w:rsid w:val="004B66AA"/>
    <w:rsid w:val="004B6E30"/>
    <w:rsid w:val="004B7587"/>
    <w:rsid w:val="004C0487"/>
    <w:rsid w:val="004C18CE"/>
    <w:rsid w:val="004C1B42"/>
    <w:rsid w:val="004C23B6"/>
    <w:rsid w:val="004C2904"/>
    <w:rsid w:val="004C3000"/>
    <w:rsid w:val="004C32FB"/>
    <w:rsid w:val="004C3857"/>
    <w:rsid w:val="004C4FC7"/>
    <w:rsid w:val="004D0C64"/>
    <w:rsid w:val="004D193C"/>
    <w:rsid w:val="004D2D0A"/>
    <w:rsid w:val="004D43CF"/>
    <w:rsid w:val="004D58CD"/>
    <w:rsid w:val="004D6D8F"/>
    <w:rsid w:val="004D76D9"/>
    <w:rsid w:val="004E0E65"/>
    <w:rsid w:val="004E1B65"/>
    <w:rsid w:val="004E218D"/>
    <w:rsid w:val="004E22C3"/>
    <w:rsid w:val="004E264F"/>
    <w:rsid w:val="004E27F0"/>
    <w:rsid w:val="004E37DB"/>
    <w:rsid w:val="004E3CCF"/>
    <w:rsid w:val="004E43D9"/>
    <w:rsid w:val="004E50E3"/>
    <w:rsid w:val="004E6617"/>
    <w:rsid w:val="004E7B2E"/>
    <w:rsid w:val="004F013F"/>
    <w:rsid w:val="004F034B"/>
    <w:rsid w:val="004F1AC3"/>
    <w:rsid w:val="004F21B4"/>
    <w:rsid w:val="004F3209"/>
    <w:rsid w:val="004F3273"/>
    <w:rsid w:val="004F39D8"/>
    <w:rsid w:val="004F40E6"/>
    <w:rsid w:val="004F48FF"/>
    <w:rsid w:val="004F49C8"/>
    <w:rsid w:val="004F5296"/>
    <w:rsid w:val="004F6881"/>
    <w:rsid w:val="00501524"/>
    <w:rsid w:val="00502A93"/>
    <w:rsid w:val="00503144"/>
    <w:rsid w:val="005056E4"/>
    <w:rsid w:val="00506BAA"/>
    <w:rsid w:val="00506C30"/>
    <w:rsid w:val="005101FC"/>
    <w:rsid w:val="005134DB"/>
    <w:rsid w:val="00513688"/>
    <w:rsid w:val="00513DDA"/>
    <w:rsid w:val="005158F9"/>
    <w:rsid w:val="00515BD0"/>
    <w:rsid w:val="00516182"/>
    <w:rsid w:val="00516BE0"/>
    <w:rsid w:val="005171B3"/>
    <w:rsid w:val="00520055"/>
    <w:rsid w:val="00520D12"/>
    <w:rsid w:val="0052151E"/>
    <w:rsid w:val="0052168B"/>
    <w:rsid w:val="00521CB7"/>
    <w:rsid w:val="00521FDD"/>
    <w:rsid w:val="0052291A"/>
    <w:rsid w:val="0052319E"/>
    <w:rsid w:val="00524203"/>
    <w:rsid w:val="00524A7C"/>
    <w:rsid w:val="00525C33"/>
    <w:rsid w:val="00526ECB"/>
    <w:rsid w:val="005273F9"/>
    <w:rsid w:val="00527922"/>
    <w:rsid w:val="0053024A"/>
    <w:rsid w:val="00531259"/>
    <w:rsid w:val="005334E1"/>
    <w:rsid w:val="005335B4"/>
    <w:rsid w:val="00533D24"/>
    <w:rsid w:val="00534192"/>
    <w:rsid w:val="00534A5A"/>
    <w:rsid w:val="00537A5B"/>
    <w:rsid w:val="00537C2D"/>
    <w:rsid w:val="005403A1"/>
    <w:rsid w:val="00540EB7"/>
    <w:rsid w:val="005414D3"/>
    <w:rsid w:val="00542BCF"/>
    <w:rsid w:val="0054401D"/>
    <w:rsid w:val="005450F2"/>
    <w:rsid w:val="0054551A"/>
    <w:rsid w:val="00547157"/>
    <w:rsid w:val="0054734C"/>
    <w:rsid w:val="00547DFD"/>
    <w:rsid w:val="005512BB"/>
    <w:rsid w:val="005516B4"/>
    <w:rsid w:val="00551756"/>
    <w:rsid w:val="00551906"/>
    <w:rsid w:val="00551C92"/>
    <w:rsid w:val="00552D49"/>
    <w:rsid w:val="00553478"/>
    <w:rsid w:val="00553CFD"/>
    <w:rsid w:val="00554192"/>
    <w:rsid w:val="00554574"/>
    <w:rsid w:val="00556295"/>
    <w:rsid w:val="0056379B"/>
    <w:rsid w:val="0056405B"/>
    <w:rsid w:val="005658D1"/>
    <w:rsid w:val="00565A15"/>
    <w:rsid w:val="0056759B"/>
    <w:rsid w:val="00567C4E"/>
    <w:rsid w:val="005704F9"/>
    <w:rsid w:val="005709BA"/>
    <w:rsid w:val="00570BDC"/>
    <w:rsid w:val="00571115"/>
    <w:rsid w:val="00571F0F"/>
    <w:rsid w:val="00572941"/>
    <w:rsid w:val="00573257"/>
    <w:rsid w:val="00573B77"/>
    <w:rsid w:val="00575FBE"/>
    <w:rsid w:val="00576129"/>
    <w:rsid w:val="005770F1"/>
    <w:rsid w:val="005771B7"/>
    <w:rsid w:val="00577332"/>
    <w:rsid w:val="00577551"/>
    <w:rsid w:val="00577A02"/>
    <w:rsid w:val="00577C6D"/>
    <w:rsid w:val="00580918"/>
    <w:rsid w:val="00580AFC"/>
    <w:rsid w:val="00580E92"/>
    <w:rsid w:val="005817F8"/>
    <w:rsid w:val="00584163"/>
    <w:rsid w:val="005856AB"/>
    <w:rsid w:val="00585810"/>
    <w:rsid w:val="00585D81"/>
    <w:rsid w:val="00585DAC"/>
    <w:rsid w:val="0058683D"/>
    <w:rsid w:val="005870B7"/>
    <w:rsid w:val="005872F2"/>
    <w:rsid w:val="0059082E"/>
    <w:rsid w:val="00590C3F"/>
    <w:rsid w:val="005915C6"/>
    <w:rsid w:val="00591761"/>
    <w:rsid w:val="0059206C"/>
    <w:rsid w:val="00592774"/>
    <w:rsid w:val="0059358F"/>
    <w:rsid w:val="00593DD8"/>
    <w:rsid w:val="005943EA"/>
    <w:rsid w:val="005944F6"/>
    <w:rsid w:val="00594CB1"/>
    <w:rsid w:val="00595C9E"/>
    <w:rsid w:val="00595EF9"/>
    <w:rsid w:val="005A0560"/>
    <w:rsid w:val="005A14F6"/>
    <w:rsid w:val="005A2C00"/>
    <w:rsid w:val="005A3244"/>
    <w:rsid w:val="005A5215"/>
    <w:rsid w:val="005A52FB"/>
    <w:rsid w:val="005A56CE"/>
    <w:rsid w:val="005A5895"/>
    <w:rsid w:val="005A623E"/>
    <w:rsid w:val="005A7647"/>
    <w:rsid w:val="005A7C45"/>
    <w:rsid w:val="005B1577"/>
    <w:rsid w:val="005B173E"/>
    <w:rsid w:val="005B1F50"/>
    <w:rsid w:val="005B44C2"/>
    <w:rsid w:val="005B4ED4"/>
    <w:rsid w:val="005B507A"/>
    <w:rsid w:val="005B55FB"/>
    <w:rsid w:val="005B5877"/>
    <w:rsid w:val="005B5BB0"/>
    <w:rsid w:val="005B5F6F"/>
    <w:rsid w:val="005B6FB7"/>
    <w:rsid w:val="005B7057"/>
    <w:rsid w:val="005B72DE"/>
    <w:rsid w:val="005B7ED7"/>
    <w:rsid w:val="005B7F46"/>
    <w:rsid w:val="005C03D5"/>
    <w:rsid w:val="005C06A3"/>
    <w:rsid w:val="005C0736"/>
    <w:rsid w:val="005C07AA"/>
    <w:rsid w:val="005C07FC"/>
    <w:rsid w:val="005C2980"/>
    <w:rsid w:val="005C4406"/>
    <w:rsid w:val="005C4526"/>
    <w:rsid w:val="005C58B2"/>
    <w:rsid w:val="005C5BD0"/>
    <w:rsid w:val="005C684D"/>
    <w:rsid w:val="005C6B71"/>
    <w:rsid w:val="005C6C09"/>
    <w:rsid w:val="005C7014"/>
    <w:rsid w:val="005C702E"/>
    <w:rsid w:val="005D0356"/>
    <w:rsid w:val="005D0475"/>
    <w:rsid w:val="005D2D64"/>
    <w:rsid w:val="005D2FA9"/>
    <w:rsid w:val="005D3606"/>
    <w:rsid w:val="005D36FF"/>
    <w:rsid w:val="005D3D7E"/>
    <w:rsid w:val="005D4441"/>
    <w:rsid w:val="005D5642"/>
    <w:rsid w:val="005D57A6"/>
    <w:rsid w:val="005D5D6B"/>
    <w:rsid w:val="005D5F14"/>
    <w:rsid w:val="005D6786"/>
    <w:rsid w:val="005E07E6"/>
    <w:rsid w:val="005E09D2"/>
    <w:rsid w:val="005E0C5B"/>
    <w:rsid w:val="005E0CE5"/>
    <w:rsid w:val="005E133F"/>
    <w:rsid w:val="005E2BC7"/>
    <w:rsid w:val="005E2E21"/>
    <w:rsid w:val="005E3C2A"/>
    <w:rsid w:val="005E4831"/>
    <w:rsid w:val="005E5AA3"/>
    <w:rsid w:val="005E6AF7"/>
    <w:rsid w:val="005E738E"/>
    <w:rsid w:val="005E7795"/>
    <w:rsid w:val="005E7F21"/>
    <w:rsid w:val="005E7FD4"/>
    <w:rsid w:val="005F031E"/>
    <w:rsid w:val="005F0605"/>
    <w:rsid w:val="005F07A2"/>
    <w:rsid w:val="005F0F6D"/>
    <w:rsid w:val="005F1491"/>
    <w:rsid w:val="005F19E0"/>
    <w:rsid w:val="005F4360"/>
    <w:rsid w:val="005F56F9"/>
    <w:rsid w:val="005F671D"/>
    <w:rsid w:val="005F7B8B"/>
    <w:rsid w:val="00600DD8"/>
    <w:rsid w:val="006036D6"/>
    <w:rsid w:val="006045EE"/>
    <w:rsid w:val="00604A61"/>
    <w:rsid w:val="00604ABC"/>
    <w:rsid w:val="006058F7"/>
    <w:rsid w:val="006102B3"/>
    <w:rsid w:val="00610584"/>
    <w:rsid w:val="00610D8F"/>
    <w:rsid w:val="0061119F"/>
    <w:rsid w:val="00611687"/>
    <w:rsid w:val="00611A31"/>
    <w:rsid w:val="006131FD"/>
    <w:rsid w:val="006134E2"/>
    <w:rsid w:val="00614435"/>
    <w:rsid w:val="006148F5"/>
    <w:rsid w:val="00615D61"/>
    <w:rsid w:val="006166EB"/>
    <w:rsid w:val="00616A58"/>
    <w:rsid w:val="006170A7"/>
    <w:rsid w:val="006174FE"/>
    <w:rsid w:val="006177E2"/>
    <w:rsid w:val="006211FC"/>
    <w:rsid w:val="00621C3B"/>
    <w:rsid w:val="00623E25"/>
    <w:rsid w:val="00625A6F"/>
    <w:rsid w:val="00625ACD"/>
    <w:rsid w:val="00625F61"/>
    <w:rsid w:val="006262A3"/>
    <w:rsid w:val="00626E0C"/>
    <w:rsid w:val="006270CB"/>
    <w:rsid w:val="00627C38"/>
    <w:rsid w:val="006314B7"/>
    <w:rsid w:val="0063228A"/>
    <w:rsid w:val="00632397"/>
    <w:rsid w:val="00633B15"/>
    <w:rsid w:val="006340CF"/>
    <w:rsid w:val="006348EC"/>
    <w:rsid w:val="00634AE8"/>
    <w:rsid w:val="00635591"/>
    <w:rsid w:val="006359AE"/>
    <w:rsid w:val="00635C72"/>
    <w:rsid w:val="006369BB"/>
    <w:rsid w:val="0064035C"/>
    <w:rsid w:val="00640A8F"/>
    <w:rsid w:val="00640AA1"/>
    <w:rsid w:val="00641240"/>
    <w:rsid w:val="0064201D"/>
    <w:rsid w:val="0064334E"/>
    <w:rsid w:val="006436C6"/>
    <w:rsid w:val="00644355"/>
    <w:rsid w:val="006446D3"/>
    <w:rsid w:val="00644B3E"/>
    <w:rsid w:val="00644BAF"/>
    <w:rsid w:val="0064525C"/>
    <w:rsid w:val="00645526"/>
    <w:rsid w:val="006461EB"/>
    <w:rsid w:val="00647AF3"/>
    <w:rsid w:val="00650F0D"/>
    <w:rsid w:val="00651187"/>
    <w:rsid w:val="0065305D"/>
    <w:rsid w:val="006531DB"/>
    <w:rsid w:val="006538C4"/>
    <w:rsid w:val="00653B8E"/>
    <w:rsid w:val="006542D9"/>
    <w:rsid w:val="00656053"/>
    <w:rsid w:val="0065664C"/>
    <w:rsid w:val="006571AE"/>
    <w:rsid w:val="00657249"/>
    <w:rsid w:val="0065760F"/>
    <w:rsid w:val="00661002"/>
    <w:rsid w:val="0066113D"/>
    <w:rsid w:val="00661C35"/>
    <w:rsid w:val="006620EC"/>
    <w:rsid w:val="00662180"/>
    <w:rsid w:val="0066261C"/>
    <w:rsid w:val="006626D6"/>
    <w:rsid w:val="006627F3"/>
    <w:rsid w:val="0066304B"/>
    <w:rsid w:val="00663607"/>
    <w:rsid w:val="006639FE"/>
    <w:rsid w:val="00663B43"/>
    <w:rsid w:val="00665780"/>
    <w:rsid w:val="00665E0C"/>
    <w:rsid w:val="00666739"/>
    <w:rsid w:val="00667309"/>
    <w:rsid w:val="00667CE5"/>
    <w:rsid w:val="006702D2"/>
    <w:rsid w:val="00670356"/>
    <w:rsid w:val="006705C0"/>
    <w:rsid w:val="00670DD9"/>
    <w:rsid w:val="00670DE7"/>
    <w:rsid w:val="006729F1"/>
    <w:rsid w:val="00673C74"/>
    <w:rsid w:val="00674888"/>
    <w:rsid w:val="00674C65"/>
    <w:rsid w:val="00674E28"/>
    <w:rsid w:val="00675698"/>
    <w:rsid w:val="00677D5E"/>
    <w:rsid w:val="0068196E"/>
    <w:rsid w:val="00681A95"/>
    <w:rsid w:val="0068233D"/>
    <w:rsid w:val="0068295E"/>
    <w:rsid w:val="00682E7B"/>
    <w:rsid w:val="006838E0"/>
    <w:rsid w:val="0068408A"/>
    <w:rsid w:val="0068433F"/>
    <w:rsid w:val="00684965"/>
    <w:rsid w:val="00684C9B"/>
    <w:rsid w:val="006852EB"/>
    <w:rsid w:val="0068574A"/>
    <w:rsid w:val="00686617"/>
    <w:rsid w:val="00690963"/>
    <w:rsid w:val="00690CE1"/>
    <w:rsid w:val="0069119D"/>
    <w:rsid w:val="006913BF"/>
    <w:rsid w:val="00692C84"/>
    <w:rsid w:val="00692FE0"/>
    <w:rsid w:val="006946A6"/>
    <w:rsid w:val="00694AA7"/>
    <w:rsid w:val="006954A3"/>
    <w:rsid w:val="006958D4"/>
    <w:rsid w:val="006A0CFB"/>
    <w:rsid w:val="006A13CB"/>
    <w:rsid w:val="006A18E1"/>
    <w:rsid w:val="006A1991"/>
    <w:rsid w:val="006A2440"/>
    <w:rsid w:val="006A4A14"/>
    <w:rsid w:val="006A4AA6"/>
    <w:rsid w:val="006A5228"/>
    <w:rsid w:val="006A5911"/>
    <w:rsid w:val="006B0CDC"/>
    <w:rsid w:val="006B1AF0"/>
    <w:rsid w:val="006B2117"/>
    <w:rsid w:val="006B3CA7"/>
    <w:rsid w:val="006B4660"/>
    <w:rsid w:val="006B5134"/>
    <w:rsid w:val="006B53EE"/>
    <w:rsid w:val="006B6614"/>
    <w:rsid w:val="006B72B7"/>
    <w:rsid w:val="006B7B28"/>
    <w:rsid w:val="006B7BA3"/>
    <w:rsid w:val="006B7C13"/>
    <w:rsid w:val="006C1A55"/>
    <w:rsid w:val="006C2831"/>
    <w:rsid w:val="006C3038"/>
    <w:rsid w:val="006C5C5A"/>
    <w:rsid w:val="006C5DC4"/>
    <w:rsid w:val="006C5DCC"/>
    <w:rsid w:val="006C7F45"/>
    <w:rsid w:val="006D0058"/>
    <w:rsid w:val="006D3584"/>
    <w:rsid w:val="006D420D"/>
    <w:rsid w:val="006D4AD1"/>
    <w:rsid w:val="006D5082"/>
    <w:rsid w:val="006D50C3"/>
    <w:rsid w:val="006D5931"/>
    <w:rsid w:val="006D5F8A"/>
    <w:rsid w:val="006D666E"/>
    <w:rsid w:val="006D7915"/>
    <w:rsid w:val="006E0D45"/>
    <w:rsid w:val="006E277F"/>
    <w:rsid w:val="006E3A46"/>
    <w:rsid w:val="006E3B11"/>
    <w:rsid w:val="006E4EFD"/>
    <w:rsid w:val="006F038E"/>
    <w:rsid w:val="006F09C1"/>
    <w:rsid w:val="006F0DB9"/>
    <w:rsid w:val="006F1725"/>
    <w:rsid w:val="006F1DD5"/>
    <w:rsid w:val="006F2539"/>
    <w:rsid w:val="006F374A"/>
    <w:rsid w:val="006F3A8C"/>
    <w:rsid w:val="006F3D5F"/>
    <w:rsid w:val="006F4328"/>
    <w:rsid w:val="006F5531"/>
    <w:rsid w:val="006F5D02"/>
    <w:rsid w:val="006F6622"/>
    <w:rsid w:val="0070004E"/>
    <w:rsid w:val="00700C56"/>
    <w:rsid w:val="00701AE6"/>
    <w:rsid w:val="00701E9E"/>
    <w:rsid w:val="007024E9"/>
    <w:rsid w:val="007036F3"/>
    <w:rsid w:val="00703E93"/>
    <w:rsid w:val="00704ACE"/>
    <w:rsid w:val="0070563C"/>
    <w:rsid w:val="00707076"/>
    <w:rsid w:val="007077E8"/>
    <w:rsid w:val="007127D2"/>
    <w:rsid w:val="00713A18"/>
    <w:rsid w:val="00713D99"/>
    <w:rsid w:val="0071436E"/>
    <w:rsid w:val="007146A3"/>
    <w:rsid w:val="007161BA"/>
    <w:rsid w:val="00716E6A"/>
    <w:rsid w:val="00716ECD"/>
    <w:rsid w:val="0071718D"/>
    <w:rsid w:val="007175BA"/>
    <w:rsid w:val="007217C2"/>
    <w:rsid w:val="00721DE7"/>
    <w:rsid w:val="00722449"/>
    <w:rsid w:val="0072295C"/>
    <w:rsid w:val="007244AA"/>
    <w:rsid w:val="0072502D"/>
    <w:rsid w:val="00725FB0"/>
    <w:rsid w:val="00726CAB"/>
    <w:rsid w:val="00727E27"/>
    <w:rsid w:val="007304C4"/>
    <w:rsid w:val="0073092D"/>
    <w:rsid w:val="00732036"/>
    <w:rsid w:val="00737CFA"/>
    <w:rsid w:val="00741FBB"/>
    <w:rsid w:val="00742146"/>
    <w:rsid w:val="00742527"/>
    <w:rsid w:val="00742D55"/>
    <w:rsid w:val="0074339E"/>
    <w:rsid w:val="0074463A"/>
    <w:rsid w:val="00744F40"/>
    <w:rsid w:val="007451EF"/>
    <w:rsid w:val="00746333"/>
    <w:rsid w:val="00746D13"/>
    <w:rsid w:val="007538F0"/>
    <w:rsid w:val="00754477"/>
    <w:rsid w:val="00754D02"/>
    <w:rsid w:val="007577B7"/>
    <w:rsid w:val="007607CC"/>
    <w:rsid w:val="00761076"/>
    <w:rsid w:val="0076290F"/>
    <w:rsid w:val="007651A7"/>
    <w:rsid w:val="0076542F"/>
    <w:rsid w:val="00767E0D"/>
    <w:rsid w:val="007700AC"/>
    <w:rsid w:val="007739DE"/>
    <w:rsid w:val="00773A83"/>
    <w:rsid w:val="00773B4B"/>
    <w:rsid w:val="00773DDE"/>
    <w:rsid w:val="00774C63"/>
    <w:rsid w:val="00774CA1"/>
    <w:rsid w:val="00775F74"/>
    <w:rsid w:val="00776329"/>
    <w:rsid w:val="00777DFF"/>
    <w:rsid w:val="00781809"/>
    <w:rsid w:val="00781926"/>
    <w:rsid w:val="0078534A"/>
    <w:rsid w:val="007877DD"/>
    <w:rsid w:val="0078790A"/>
    <w:rsid w:val="00787E8C"/>
    <w:rsid w:val="00790D4D"/>
    <w:rsid w:val="0079157B"/>
    <w:rsid w:val="00792F85"/>
    <w:rsid w:val="0079441D"/>
    <w:rsid w:val="007949B0"/>
    <w:rsid w:val="00794B45"/>
    <w:rsid w:val="00794BA2"/>
    <w:rsid w:val="00795F2A"/>
    <w:rsid w:val="007A17E8"/>
    <w:rsid w:val="007A255D"/>
    <w:rsid w:val="007A2FFB"/>
    <w:rsid w:val="007A3EA9"/>
    <w:rsid w:val="007A4ACF"/>
    <w:rsid w:val="007A4C12"/>
    <w:rsid w:val="007A6A1A"/>
    <w:rsid w:val="007A7354"/>
    <w:rsid w:val="007A7A63"/>
    <w:rsid w:val="007B007B"/>
    <w:rsid w:val="007B194C"/>
    <w:rsid w:val="007B1986"/>
    <w:rsid w:val="007B238A"/>
    <w:rsid w:val="007B25B8"/>
    <w:rsid w:val="007B31F2"/>
    <w:rsid w:val="007B33AE"/>
    <w:rsid w:val="007B3FE7"/>
    <w:rsid w:val="007B42A8"/>
    <w:rsid w:val="007B57D3"/>
    <w:rsid w:val="007B716D"/>
    <w:rsid w:val="007B7315"/>
    <w:rsid w:val="007C0EAC"/>
    <w:rsid w:val="007C1635"/>
    <w:rsid w:val="007C223D"/>
    <w:rsid w:val="007C51C0"/>
    <w:rsid w:val="007C6B38"/>
    <w:rsid w:val="007C6DB2"/>
    <w:rsid w:val="007C74F6"/>
    <w:rsid w:val="007C7634"/>
    <w:rsid w:val="007C797E"/>
    <w:rsid w:val="007C79B5"/>
    <w:rsid w:val="007D0392"/>
    <w:rsid w:val="007D078B"/>
    <w:rsid w:val="007D0A1F"/>
    <w:rsid w:val="007D112C"/>
    <w:rsid w:val="007D1A18"/>
    <w:rsid w:val="007D1E50"/>
    <w:rsid w:val="007D1E76"/>
    <w:rsid w:val="007D29CA"/>
    <w:rsid w:val="007D41DC"/>
    <w:rsid w:val="007D4B26"/>
    <w:rsid w:val="007D4CFA"/>
    <w:rsid w:val="007D4E66"/>
    <w:rsid w:val="007D592A"/>
    <w:rsid w:val="007D6246"/>
    <w:rsid w:val="007D66CF"/>
    <w:rsid w:val="007D6C2B"/>
    <w:rsid w:val="007D7A15"/>
    <w:rsid w:val="007D7B56"/>
    <w:rsid w:val="007E02F9"/>
    <w:rsid w:val="007E0390"/>
    <w:rsid w:val="007E08D4"/>
    <w:rsid w:val="007E104E"/>
    <w:rsid w:val="007E1C36"/>
    <w:rsid w:val="007E1F5A"/>
    <w:rsid w:val="007E2044"/>
    <w:rsid w:val="007E3284"/>
    <w:rsid w:val="007E3F4A"/>
    <w:rsid w:val="007E432D"/>
    <w:rsid w:val="007E45FF"/>
    <w:rsid w:val="007E6658"/>
    <w:rsid w:val="007E7CEE"/>
    <w:rsid w:val="007F15D0"/>
    <w:rsid w:val="007F223E"/>
    <w:rsid w:val="007F2D05"/>
    <w:rsid w:val="007F3073"/>
    <w:rsid w:val="007F3226"/>
    <w:rsid w:val="007F4293"/>
    <w:rsid w:val="007F4584"/>
    <w:rsid w:val="007F4735"/>
    <w:rsid w:val="007F54A4"/>
    <w:rsid w:val="007F56B5"/>
    <w:rsid w:val="007F6276"/>
    <w:rsid w:val="008024A3"/>
    <w:rsid w:val="008024DD"/>
    <w:rsid w:val="0080415A"/>
    <w:rsid w:val="00805598"/>
    <w:rsid w:val="008069C1"/>
    <w:rsid w:val="00807579"/>
    <w:rsid w:val="00807A7F"/>
    <w:rsid w:val="00811188"/>
    <w:rsid w:val="0081157B"/>
    <w:rsid w:val="00813442"/>
    <w:rsid w:val="008160B6"/>
    <w:rsid w:val="00816AAF"/>
    <w:rsid w:val="00816E86"/>
    <w:rsid w:val="008223B8"/>
    <w:rsid w:val="008228E3"/>
    <w:rsid w:val="00822AE5"/>
    <w:rsid w:val="008230FD"/>
    <w:rsid w:val="00825174"/>
    <w:rsid w:val="00826975"/>
    <w:rsid w:val="00826C12"/>
    <w:rsid w:val="00827C8E"/>
    <w:rsid w:val="00831678"/>
    <w:rsid w:val="00832017"/>
    <w:rsid w:val="0083279C"/>
    <w:rsid w:val="00832DC2"/>
    <w:rsid w:val="00833240"/>
    <w:rsid w:val="00833245"/>
    <w:rsid w:val="00833A50"/>
    <w:rsid w:val="00833D5B"/>
    <w:rsid w:val="00834E8A"/>
    <w:rsid w:val="0084073E"/>
    <w:rsid w:val="00841992"/>
    <w:rsid w:val="00842BD3"/>
    <w:rsid w:val="008439A4"/>
    <w:rsid w:val="00843DE8"/>
    <w:rsid w:val="00845525"/>
    <w:rsid w:val="00845962"/>
    <w:rsid w:val="008463B5"/>
    <w:rsid w:val="00850817"/>
    <w:rsid w:val="00851D99"/>
    <w:rsid w:val="00852103"/>
    <w:rsid w:val="008550A1"/>
    <w:rsid w:val="008550FA"/>
    <w:rsid w:val="00855229"/>
    <w:rsid w:val="00855711"/>
    <w:rsid w:val="00856230"/>
    <w:rsid w:val="00856E94"/>
    <w:rsid w:val="00857356"/>
    <w:rsid w:val="00857385"/>
    <w:rsid w:val="00857976"/>
    <w:rsid w:val="00857A57"/>
    <w:rsid w:val="00857B2D"/>
    <w:rsid w:val="00860814"/>
    <w:rsid w:val="00860DEA"/>
    <w:rsid w:val="008620A2"/>
    <w:rsid w:val="008620A8"/>
    <w:rsid w:val="0086222A"/>
    <w:rsid w:val="00863558"/>
    <w:rsid w:val="00863708"/>
    <w:rsid w:val="00863719"/>
    <w:rsid w:val="008638EA"/>
    <w:rsid w:val="00864422"/>
    <w:rsid w:val="008657B3"/>
    <w:rsid w:val="008663DE"/>
    <w:rsid w:val="00866640"/>
    <w:rsid w:val="00867D02"/>
    <w:rsid w:val="00867D14"/>
    <w:rsid w:val="00867E64"/>
    <w:rsid w:val="0087072D"/>
    <w:rsid w:val="00871B88"/>
    <w:rsid w:val="00872824"/>
    <w:rsid w:val="00872BF4"/>
    <w:rsid w:val="00873BBF"/>
    <w:rsid w:val="00873F67"/>
    <w:rsid w:val="00874705"/>
    <w:rsid w:val="0087665C"/>
    <w:rsid w:val="00877189"/>
    <w:rsid w:val="00877258"/>
    <w:rsid w:val="008817A9"/>
    <w:rsid w:val="00881E6C"/>
    <w:rsid w:val="0088277C"/>
    <w:rsid w:val="00885F52"/>
    <w:rsid w:val="00887235"/>
    <w:rsid w:val="00887903"/>
    <w:rsid w:val="00890813"/>
    <w:rsid w:val="008916DD"/>
    <w:rsid w:val="008918AF"/>
    <w:rsid w:val="00892E83"/>
    <w:rsid w:val="00894A9B"/>
    <w:rsid w:val="00894B17"/>
    <w:rsid w:val="00895F70"/>
    <w:rsid w:val="00896241"/>
    <w:rsid w:val="008969DA"/>
    <w:rsid w:val="00896E0F"/>
    <w:rsid w:val="0089734D"/>
    <w:rsid w:val="00897534"/>
    <w:rsid w:val="00897BFD"/>
    <w:rsid w:val="008A1931"/>
    <w:rsid w:val="008A21CB"/>
    <w:rsid w:val="008A227A"/>
    <w:rsid w:val="008A397D"/>
    <w:rsid w:val="008A3D9A"/>
    <w:rsid w:val="008A4A6E"/>
    <w:rsid w:val="008A4A72"/>
    <w:rsid w:val="008A5522"/>
    <w:rsid w:val="008A566B"/>
    <w:rsid w:val="008A5E1A"/>
    <w:rsid w:val="008A5FA1"/>
    <w:rsid w:val="008A6BFE"/>
    <w:rsid w:val="008A751B"/>
    <w:rsid w:val="008A763D"/>
    <w:rsid w:val="008A77C2"/>
    <w:rsid w:val="008B1987"/>
    <w:rsid w:val="008B23B4"/>
    <w:rsid w:val="008B23ED"/>
    <w:rsid w:val="008B361A"/>
    <w:rsid w:val="008B454F"/>
    <w:rsid w:val="008B5CB6"/>
    <w:rsid w:val="008B6C0A"/>
    <w:rsid w:val="008B6E72"/>
    <w:rsid w:val="008B7676"/>
    <w:rsid w:val="008B799D"/>
    <w:rsid w:val="008B7D69"/>
    <w:rsid w:val="008C16C4"/>
    <w:rsid w:val="008C18C1"/>
    <w:rsid w:val="008C190E"/>
    <w:rsid w:val="008C2205"/>
    <w:rsid w:val="008C243D"/>
    <w:rsid w:val="008C321B"/>
    <w:rsid w:val="008C3905"/>
    <w:rsid w:val="008C4790"/>
    <w:rsid w:val="008C4806"/>
    <w:rsid w:val="008C4B67"/>
    <w:rsid w:val="008C5715"/>
    <w:rsid w:val="008C5E5D"/>
    <w:rsid w:val="008C5F21"/>
    <w:rsid w:val="008C6AE1"/>
    <w:rsid w:val="008C7B08"/>
    <w:rsid w:val="008C7B5B"/>
    <w:rsid w:val="008D146E"/>
    <w:rsid w:val="008D16A5"/>
    <w:rsid w:val="008D17C1"/>
    <w:rsid w:val="008D2620"/>
    <w:rsid w:val="008D324C"/>
    <w:rsid w:val="008D34BA"/>
    <w:rsid w:val="008D35F0"/>
    <w:rsid w:val="008D364B"/>
    <w:rsid w:val="008D55EB"/>
    <w:rsid w:val="008E0977"/>
    <w:rsid w:val="008E1988"/>
    <w:rsid w:val="008E1990"/>
    <w:rsid w:val="008E1B7A"/>
    <w:rsid w:val="008E1E36"/>
    <w:rsid w:val="008E27B6"/>
    <w:rsid w:val="008E30C7"/>
    <w:rsid w:val="008E31EF"/>
    <w:rsid w:val="008E3A3B"/>
    <w:rsid w:val="008E4E23"/>
    <w:rsid w:val="008E66E7"/>
    <w:rsid w:val="008F020C"/>
    <w:rsid w:val="008F0F1B"/>
    <w:rsid w:val="008F1112"/>
    <w:rsid w:val="008F2BED"/>
    <w:rsid w:val="008F3343"/>
    <w:rsid w:val="008F3C69"/>
    <w:rsid w:val="008F4A2E"/>
    <w:rsid w:val="008F5D9D"/>
    <w:rsid w:val="008F69F5"/>
    <w:rsid w:val="00900515"/>
    <w:rsid w:val="00900898"/>
    <w:rsid w:val="00900B71"/>
    <w:rsid w:val="0090128F"/>
    <w:rsid w:val="00901836"/>
    <w:rsid w:val="009023C6"/>
    <w:rsid w:val="0090306D"/>
    <w:rsid w:val="009037E9"/>
    <w:rsid w:val="00903B54"/>
    <w:rsid w:val="0090427E"/>
    <w:rsid w:val="00904CA0"/>
    <w:rsid w:val="009055D7"/>
    <w:rsid w:val="00906A3B"/>
    <w:rsid w:val="00906E8E"/>
    <w:rsid w:val="009124C6"/>
    <w:rsid w:val="00912867"/>
    <w:rsid w:val="0091345B"/>
    <w:rsid w:val="00914EE4"/>
    <w:rsid w:val="009159BD"/>
    <w:rsid w:val="00916504"/>
    <w:rsid w:val="0091703D"/>
    <w:rsid w:val="009172E1"/>
    <w:rsid w:val="00921283"/>
    <w:rsid w:val="009235A9"/>
    <w:rsid w:val="00924129"/>
    <w:rsid w:val="00924EF7"/>
    <w:rsid w:val="009252ED"/>
    <w:rsid w:val="00925545"/>
    <w:rsid w:val="00925D32"/>
    <w:rsid w:val="00925DC4"/>
    <w:rsid w:val="00925E22"/>
    <w:rsid w:val="009264FE"/>
    <w:rsid w:val="00932B46"/>
    <w:rsid w:val="00932BB6"/>
    <w:rsid w:val="0093451A"/>
    <w:rsid w:val="00935089"/>
    <w:rsid w:val="00935A36"/>
    <w:rsid w:val="00935BE5"/>
    <w:rsid w:val="0093611B"/>
    <w:rsid w:val="009364BF"/>
    <w:rsid w:val="00936DB4"/>
    <w:rsid w:val="009376EE"/>
    <w:rsid w:val="0094028D"/>
    <w:rsid w:val="00940580"/>
    <w:rsid w:val="009443F5"/>
    <w:rsid w:val="0094516B"/>
    <w:rsid w:val="00945177"/>
    <w:rsid w:val="00945599"/>
    <w:rsid w:val="00946E70"/>
    <w:rsid w:val="00946F67"/>
    <w:rsid w:val="00947B4B"/>
    <w:rsid w:val="00947D3C"/>
    <w:rsid w:val="0095081E"/>
    <w:rsid w:val="00951287"/>
    <w:rsid w:val="00951856"/>
    <w:rsid w:val="009524F9"/>
    <w:rsid w:val="00952FDD"/>
    <w:rsid w:val="009549F9"/>
    <w:rsid w:val="00954A65"/>
    <w:rsid w:val="009556E5"/>
    <w:rsid w:val="00955CF0"/>
    <w:rsid w:val="00955EE8"/>
    <w:rsid w:val="009560DF"/>
    <w:rsid w:val="009577FC"/>
    <w:rsid w:val="009600FA"/>
    <w:rsid w:val="009604D1"/>
    <w:rsid w:val="009618E9"/>
    <w:rsid w:val="00961D2D"/>
    <w:rsid w:val="00962C33"/>
    <w:rsid w:val="009639BD"/>
    <w:rsid w:val="00963FF8"/>
    <w:rsid w:val="00964158"/>
    <w:rsid w:val="0096522A"/>
    <w:rsid w:val="0096531D"/>
    <w:rsid w:val="00966295"/>
    <w:rsid w:val="00966C94"/>
    <w:rsid w:val="009679F5"/>
    <w:rsid w:val="00970612"/>
    <w:rsid w:val="009707F1"/>
    <w:rsid w:val="00970D81"/>
    <w:rsid w:val="0097172A"/>
    <w:rsid w:val="00971FAB"/>
    <w:rsid w:val="00972704"/>
    <w:rsid w:val="0097296A"/>
    <w:rsid w:val="009729B5"/>
    <w:rsid w:val="00973B30"/>
    <w:rsid w:val="00976B18"/>
    <w:rsid w:val="00977A59"/>
    <w:rsid w:val="00977F62"/>
    <w:rsid w:val="00981609"/>
    <w:rsid w:val="009852CE"/>
    <w:rsid w:val="00985AC7"/>
    <w:rsid w:val="00985F84"/>
    <w:rsid w:val="009870CC"/>
    <w:rsid w:val="00987920"/>
    <w:rsid w:val="00990630"/>
    <w:rsid w:val="00990AA5"/>
    <w:rsid w:val="0099111B"/>
    <w:rsid w:val="00991619"/>
    <w:rsid w:val="009917F4"/>
    <w:rsid w:val="00991EC6"/>
    <w:rsid w:val="009921D2"/>
    <w:rsid w:val="00992ACD"/>
    <w:rsid w:val="0099310F"/>
    <w:rsid w:val="00993739"/>
    <w:rsid w:val="00996266"/>
    <w:rsid w:val="009962CA"/>
    <w:rsid w:val="009966D2"/>
    <w:rsid w:val="00997A9C"/>
    <w:rsid w:val="00997AC1"/>
    <w:rsid w:val="00997AC6"/>
    <w:rsid w:val="009A0D38"/>
    <w:rsid w:val="009A19F7"/>
    <w:rsid w:val="009A318A"/>
    <w:rsid w:val="009A580E"/>
    <w:rsid w:val="009A5BEE"/>
    <w:rsid w:val="009A64D7"/>
    <w:rsid w:val="009A65F0"/>
    <w:rsid w:val="009A7B95"/>
    <w:rsid w:val="009B0A4F"/>
    <w:rsid w:val="009B0EEB"/>
    <w:rsid w:val="009B136B"/>
    <w:rsid w:val="009B24CD"/>
    <w:rsid w:val="009B4748"/>
    <w:rsid w:val="009B52F8"/>
    <w:rsid w:val="009B61D3"/>
    <w:rsid w:val="009B626B"/>
    <w:rsid w:val="009B7226"/>
    <w:rsid w:val="009B7FC2"/>
    <w:rsid w:val="009C01FA"/>
    <w:rsid w:val="009C0AD4"/>
    <w:rsid w:val="009C1A82"/>
    <w:rsid w:val="009C4113"/>
    <w:rsid w:val="009C4A5B"/>
    <w:rsid w:val="009C5D0B"/>
    <w:rsid w:val="009C61F8"/>
    <w:rsid w:val="009C63EA"/>
    <w:rsid w:val="009C6F6C"/>
    <w:rsid w:val="009C71ED"/>
    <w:rsid w:val="009C7297"/>
    <w:rsid w:val="009C73D9"/>
    <w:rsid w:val="009D16DC"/>
    <w:rsid w:val="009D35E8"/>
    <w:rsid w:val="009D4B34"/>
    <w:rsid w:val="009D4CEC"/>
    <w:rsid w:val="009D5031"/>
    <w:rsid w:val="009D5AA0"/>
    <w:rsid w:val="009D6E38"/>
    <w:rsid w:val="009E02CD"/>
    <w:rsid w:val="009E180D"/>
    <w:rsid w:val="009E1C05"/>
    <w:rsid w:val="009E1D64"/>
    <w:rsid w:val="009E1DF8"/>
    <w:rsid w:val="009E3EB8"/>
    <w:rsid w:val="009E434D"/>
    <w:rsid w:val="009E589E"/>
    <w:rsid w:val="009E5960"/>
    <w:rsid w:val="009E5C45"/>
    <w:rsid w:val="009E6CA0"/>
    <w:rsid w:val="009E7865"/>
    <w:rsid w:val="009E7CC4"/>
    <w:rsid w:val="009F0B34"/>
    <w:rsid w:val="009F0DEB"/>
    <w:rsid w:val="009F13F2"/>
    <w:rsid w:val="009F14DD"/>
    <w:rsid w:val="009F1EB7"/>
    <w:rsid w:val="009F201D"/>
    <w:rsid w:val="009F27ED"/>
    <w:rsid w:val="009F2F36"/>
    <w:rsid w:val="009F3316"/>
    <w:rsid w:val="009F3A8F"/>
    <w:rsid w:val="009F436C"/>
    <w:rsid w:val="009F4451"/>
    <w:rsid w:val="009F603A"/>
    <w:rsid w:val="009F6166"/>
    <w:rsid w:val="009F7068"/>
    <w:rsid w:val="009F7373"/>
    <w:rsid w:val="00A029F9"/>
    <w:rsid w:val="00A04E9F"/>
    <w:rsid w:val="00A05532"/>
    <w:rsid w:val="00A06154"/>
    <w:rsid w:val="00A0638A"/>
    <w:rsid w:val="00A11598"/>
    <w:rsid w:val="00A115E8"/>
    <w:rsid w:val="00A12524"/>
    <w:rsid w:val="00A12C6B"/>
    <w:rsid w:val="00A14534"/>
    <w:rsid w:val="00A14773"/>
    <w:rsid w:val="00A14F8D"/>
    <w:rsid w:val="00A152A9"/>
    <w:rsid w:val="00A154AA"/>
    <w:rsid w:val="00A175F9"/>
    <w:rsid w:val="00A200D8"/>
    <w:rsid w:val="00A20819"/>
    <w:rsid w:val="00A20989"/>
    <w:rsid w:val="00A20B05"/>
    <w:rsid w:val="00A218B3"/>
    <w:rsid w:val="00A21BBD"/>
    <w:rsid w:val="00A21F99"/>
    <w:rsid w:val="00A221F2"/>
    <w:rsid w:val="00A241D1"/>
    <w:rsid w:val="00A24545"/>
    <w:rsid w:val="00A251C6"/>
    <w:rsid w:val="00A25B53"/>
    <w:rsid w:val="00A25F3E"/>
    <w:rsid w:val="00A26594"/>
    <w:rsid w:val="00A26CF8"/>
    <w:rsid w:val="00A30F15"/>
    <w:rsid w:val="00A32720"/>
    <w:rsid w:val="00A327B7"/>
    <w:rsid w:val="00A33B1D"/>
    <w:rsid w:val="00A3595B"/>
    <w:rsid w:val="00A36348"/>
    <w:rsid w:val="00A3639C"/>
    <w:rsid w:val="00A36869"/>
    <w:rsid w:val="00A4001D"/>
    <w:rsid w:val="00A40869"/>
    <w:rsid w:val="00A413B6"/>
    <w:rsid w:val="00A4353E"/>
    <w:rsid w:val="00A43C30"/>
    <w:rsid w:val="00A441F6"/>
    <w:rsid w:val="00A45BB8"/>
    <w:rsid w:val="00A45C1B"/>
    <w:rsid w:val="00A470F1"/>
    <w:rsid w:val="00A4735F"/>
    <w:rsid w:val="00A47485"/>
    <w:rsid w:val="00A50B7A"/>
    <w:rsid w:val="00A50C42"/>
    <w:rsid w:val="00A51748"/>
    <w:rsid w:val="00A525C7"/>
    <w:rsid w:val="00A53C96"/>
    <w:rsid w:val="00A54868"/>
    <w:rsid w:val="00A54DB6"/>
    <w:rsid w:val="00A56413"/>
    <w:rsid w:val="00A57C12"/>
    <w:rsid w:val="00A60AD9"/>
    <w:rsid w:val="00A60CA7"/>
    <w:rsid w:val="00A610D7"/>
    <w:rsid w:val="00A61AF5"/>
    <w:rsid w:val="00A6282B"/>
    <w:rsid w:val="00A62EF7"/>
    <w:rsid w:val="00A6344C"/>
    <w:rsid w:val="00A6421C"/>
    <w:rsid w:val="00A646EB"/>
    <w:rsid w:val="00A64D8C"/>
    <w:rsid w:val="00A65597"/>
    <w:rsid w:val="00A663F7"/>
    <w:rsid w:val="00A66A41"/>
    <w:rsid w:val="00A66FFA"/>
    <w:rsid w:val="00A67325"/>
    <w:rsid w:val="00A673D9"/>
    <w:rsid w:val="00A6748E"/>
    <w:rsid w:val="00A709C2"/>
    <w:rsid w:val="00A715BA"/>
    <w:rsid w:val="00A71B7F"/>
    <w:rsid w:val="00A72381"/>
    <w:rsid w:val="00A72AD3"/>
    <w:rsid w:val="00A72F29"/>
    <w:rsid w:val="00A73DAD"/>
    <w:rsid w:val="00A7440A"/>
    <w:rsid w:val="00A74D7C"/>
    <w:rsid w:val="00A74E5B"/>
    <w:rsid w:val="00A75611"/>
    <w:rsid w:val="00A75AA9"/>
    <w:rsid w:val="00A75F73"/>
    <w:rsid w:val="00A766D4"/>
    <w:rsid w:val="00A800B6"/>
    <w:rsid w:val="00A815BA"/>
    <w:rsid w:val="00A81757"/>
    <w:rsid w:val="00A82D76"/>
    <w:rsid w:val="00A83359"/>
    <w:rsid w:val="00A835E2"/>
    <w:rsid w:val="00A8405D"/>
    <w:rsid w:val="00A8545F"/>
    <w:rsid w:val="00A87AE3"/>
    <w:rsid w:val="00A901A1"/>
    <w:rsid w:val="00A90345"/>
    <w:rsid w:val="00A9047A"/>
    <w:rsid w:val="00A917E2"/>
    <w:rsid w:val="00A92FAE"/>
    <w:rsid w:val="00A935BB"/>
    <w:rsid w:val="00A94154"/>
    <w:rsid w:val="00A94471"/>
    <w:rsid w:val="00A94D76"/>
    <w:rsid w:val="00A94E1D"/>
    <w:rsid w:val="00A94E69"/>
    <w:rsid w:val="00A95F5D"/>
    <w:rsid w:val="00A96185"/>
    <w:rsid w:val="00AA095B"/>
    <w:rsid w:val="00AA1112"/>
    <w:rsid w:val="00AA1B4E"/>
    <w:rsid w:val="00AA284F"/>
    <w:rsid w:val="00AA2A81"/>
    <w:rsid w:val="00AA3474"/>
    <w:rsid w:val="00AA3A9B"/>
    <w:rsid w:val="00AA40DA"/>
    <w:rsid w:val="00AA5DC4"/>
    <w:rsid w:val="00AA6184"/>
    <w:rsid w:val="00AA7469"/>
    <w:rsid w:val="00AA7DFA"/>
    <w:rsid w:val="00AB044E"/>
    <w:rsid w:val="00AB04D0"/>
    <w:rsid w:val="00AB0A99"/>
    <w:rsid w:val="00AB0AB7"/>
    <w:rsid w:val="00AB1D00"/>
    <w:rsid w:val="00AB2550"/>
    <w:rsid w:val="00AB29D1"/>
    <w:rsid w:val="00AB2D4C"/>
    <w:rsid w:val="00AB3627"/>
    <w:rsid w:val="00AC0D99"/>
    <w:rsid w:val="00AC304E"/>
    <w:rsid w:val="00AC6839"/>
    <w:rsid w:val="00AC75F4"/>
    <w:rsid w:val="00AC77CC"/>
    <w:rsid w:val="00AD010B"/>
    <w:rsid w:val="00AD0877"/>
    <w:rsid w:val="00AD257A"/>
    <w:rsid w:val="00AD2994"/>
    <w:rsid w:val="00AD2C4F"/>
    <w:rsid w:val="00AD5C46"/>
    <w:rsid w:val="00AD71FB"/>
    <w:rsid w:val="00AD75BD"/>
    <w:rsid w:val="00AD7795"/>
    <w:rsid w:val="00AE23DF"/>
    <w:rsid w:val="00AE341C"/>
    <w:rsid w:val="00AE3ABE"/>
    <w:rsid w:val="00AE428D"/>
    <w:rsid w:val="00AE4DD5"/>
    <w:rsid w:val="00AE608D"/>
    <w:rsid w:val="00AE69AA"/>
    <w:rsid w:val="00AE78FB"/>
    <w:rsid w:val="00AE7940"/>
    <w:rsid w:val="00AF0964"/>
    <w:rsid w:val="00AF0B7F"/>
    <w:rsid w:val="00AF0C7E"/>
    <w:rsid w:val="00AF12E3"/>
    <w:rsid w:val="00AF15E8"/>
    <w:rsid w:val="00AF1C79"/>
    <w:rsid w:val="00AF22B1"/>
    <w:rsid w:val="00AF2404"/>
    <w:rsid w:val="00AF25FC"/>
    <w:rsid w:val="00AF2806"/>
    <w:rsid w:val="00AF4D6A"/>
    <w:rsid w:val="00AF5A80"/>
    <w:rsid w:val="00AF66BC"/>
    <w:rsid w:val="00AF6AC4"/>
    <w:rsid w:val="00AF6C2B"/>
    <w:rsid w:val="00AF6D5E"/>
    <w:rsid w:val="00AF7B6A"/>
    <w:rsid w:val="00B00059"/>
    <w:rsid w:val="00B003E5"/>
    <w:rsid w:val="00B03B78"/>
    <w:rsid w:val="00B051B9"/>
    <w:rsid w:val="00B057AA"/>
    <w:rsid w:val="00B05CBD"/>
    <w:rsid w:val="00B06735"/>
    <w:rsid w:val="00B07267"/>
    <w:rsid w:val="00B072B3"/>
    <w:rsid w:val="00B075C0"/>
    <w:rsid w:val="00B101F0"/>
    <w:rsid w:val="00B10847"/>
    <w:rsid w:val="00B109A6"/>
    <w:rsid w:val="00B1239A"/>
    <w:rsid w:val="00B12AA2"/>
    <w:rsid w:val="00B12EA5"/>
    <w:rsid w:val="00B134DF"/>
    <w:rsid w:val="00B13B3C"/>
    <w:rsid w:val="00B16135"/>
    <w:rsid w:val="00B17255"/>
    <w:rsid w:val="00B17D6D"/>
    <w:rsid w:val="00B218FB"/>
    <w:rsid w:val="00B23052"/>
    <w:rsid w:val="00B24A76"/>
    <w:rsid w:val="00B25253"/>
    <w:rsid w:val="00B253FD"/>
    <w:rsid w:val="00B25BB3"/>
    <w:rsid w:val="00B26BBE"/>
    <w:rsid w:val="00B26C6E"/>
    <w:rsid w:val="00B26E3C"/>
    <w:rsid w:val="00B27414"/>
    <w:rsid w:val="00B32956"/>
    <w:rsid w:val="00B32F3F"/>
    <w:rsid w:val="00B34920"/>
    <w:rsid w:val="00B34ECC"/>
    <w:rsid w:val="00B36976"/>
    <w:rsid w:val="00B41A02"/>
    <w:rsid w:val="00B42750"/>
    <w:rsid w:val="00B42DCC"/>
    <w:rsid w:val="00B42E8D"/>
    <w:rsid w:val="00B430EE"/>
    <w:rsid w:val="00B467ED"/>
    <w:rsid w:val="00B4724A"/>
    <w:rsid w:val="00B51A13"/>
    <w:rsid w:val="00B52B6D"/>
    <w:rsid w:val="00B5364C"/>
    <w:rsid w:val="00B53B4C"/>
    <w:rsid w:val="00B559C2"/>
    <w:rsid w:val="00B559D3"/>
    <w:rsid w:val="00B60ED1"/>
    <w:rsid w:val="00B61BC0"/>
    <w:rsid w:val="00B62809"/>
    <w:rsid w:val="00B628BA"/>
    <w:rsid w:val="00B6590A"/>
    <w:rsid w:val="00B671F6"/>
    <w:rsid w:val="00B67DD6"/>
    <w:rsid w:val="00B67FCA"/>
    <w:rsid w:val="00B700F7"/>
    <w:rsid w:val="00B70BDF"/>
    <w:rsid w:val="00B70C9A"/>
    <w:rsid w:val="00B72134"/>
    <w:rsid w:val="00B7243B"/>
    <w:rsid w:val="00B73186"/>
    <w:rsid w:val="00B73629"/>
    <w:rsid w:val="00B76B02"/>
    <w:rsid w:val="00B76BDA"/>
    <w:rsid w:val="00B8006F"/>
    <w:rsid w:val="00B80B9B"/>
    <w:rsid w:val="00B80FBF"/>
    <w:rsid w:val="00B8150E"/>
    <w:rsid w:val="00B83FE7"/>
    <w:rsid w:val="00B85BBC"/>
    <w:rsid w:val="00B86AD3"/>
    <w:rsid w:val="00B86D57"/>
    <w:rsid w:val="00B87881"/>
    <w:rsid w:val="00B903B7"/>
    <w:rsid w:val="00B91E1A"/>
    <w:rsid w:val="00B91E80"/>
    <w:rsid w:val="00B92101"/>
    <w:rsid w:val="00B92165"/>
    <w:rsid w:val="00B926A7"/>
    <w:rsid w:val="00B940AC"/>
    <w:rsid w:val="00B94817"/>
    <w:rsid w:val="00B94E6A"/>
    <w:rsid w:val="00B96CBD"/>
    <w:rsid w:val="00B96FA5"/>
    <w:rsid w:val="00B97037"/>
    <w:rsid w:val="00B9724C"/>
    <w:rsid w:val="00BA0953"/>
    <w:rsid w:val="00BA49B2"/>
    <w:rsid w:val="00BA5359"/>
    <w:rsid w:val="00BA56C6"/>
    <w:rsid w:val="00BA583C"/>
    <w:rsid w:val="00BB132E"/>
    <w:rsid w:val="00BB1839"/>
    <w:rsid w:val="00BB26C1"/>
    <w:rsid w:val="00BB3694"/>
    <w:rsid w:val="00BB3AF6"/>
    <w:rsid w:val="00BB3BAE"/>
    <w:rsid w:val="00BB3DF1"/>
    <w:rsid w:val="00BB40F2"/>
    <w:rsid w:val="00BB552F"/>
    <w:rsid w:val="00BB56F3"/>
    <w:rsid w:val="00BB6154"/>
    <w:rsid w:val="00BB6940"/>
    <w:rsid w:val="00BB6A97"/>
    <w:rsid w:val="00BB6E4C"/>
    <w:rsid w:val="00BC095D"/>
    <w:rsid w:val="00BC096E"/>
    <w:rsid w:val="00BC0D8A"/>
    <w:rsid w:val="00BC38EA"/>
    <w:rsid w:val="00BC4B8C"/>
    <w:rsid w:val="00BC5845"/>
    <w:rsid w:val="00BC588C"/>
    <w:rsid w:val="00BC6AF4"/>
    <w:rsid w:val="00BC7F56"/>
    <w:rsid w:val="00BD02E4"/>
    <w:rsid w:val="00BD0B8D"/>
    <w:rsid w:val="00BD1D31"/>
    <w:rsid w:val="00BD2934"/>
    <w:rsid w:val="00BD3A6B"/>
    <w:rsid w:val="00BD58C6"/>
    <w:rsid w:val="00BD5D30"/>
    <w:rsid w:val="00BD692E"/>
    <w:rsid w:val="00BD7146"/>
    <w:rsid w:val="00BD73B1"/>
    <w:rsid w:val="00BD7EB3"/>
    <w:rsid w:val="00BE2627"/>
    <w:rsid w:val="00BE2CAD"/>
    <w:rsid w:val="00BE2D81"/>
    <w:rsid w:val="00BE39BD"/>
    <w:rsid w:val="00BE416D"/>
    <w:rsid w:val="00BE5922"/>
    <w:rsid w:val="00BE5A35"/>
    <w:rsid w:val="00BE73C9"/>
    <w:rsid w:val="00BF15D7"/>
    <w:rsid w:val="00BF21FD"/>
    <w:rsid w:val="00BF2249"/>
    <w:rsid w:val="00BF2614"/>
    <w:rsid w:val="00BF3135"/>
    <w:rsid w:val="00BF42C8"/>
    <w:rsid w:val="00BF6D88"/>
    <w:rsid w:val="00C002F9"/>
    <w:rsid w:val="00C003C2"/>
    <w:rsid w:val="00C005F7"/>
    <w:rsid w:val="00C03FFB"/>
    <w:rsid w:val="00C041E7"/>
    <w:rsid w:val="00C04CA8"/>
    <w:rsid w:val="00C04DC8"/>
    <w:rsid w:val="00C05D6A"/>
    <w:rsid w:val="00C063F5"/>
    <w:rsid w:val="00C072F3"/>
    <w:rsid w:val="00C1006D"/>
    <w:rsid w:val="00C10664"/>
    <w:rsid w:val="00C10906"/>
    <w:rsid w:val="00C11C47"/>
    <w:rsid w:val="00C12AA3"/>
    <w:rsid w:val="00C138AE"/>
    <w:rsid w:val="00C1678A"/>
    <w:rsid w:val="00C17A5E"/>
    <w:rsid w:val="00C17E56"/>
    <w:rsid w:val="00C17F14"/>
    <w:rsid w:val="00C203DA"/>
    <w:rsid w:val="00C215A2"/>
    <w:rsid w:val="00C222F9"/>
    <w:rsid w:val="00C23D69"/>
    <w:rsid w:val="00C24E7E"/>
    <w:rsid w:val="00C26377"/>
    <w:rsid w:val="00C30684"/>
    <w:rsid w:val="00C31305"/>
    <w:rsid w:val="00C31383"/>
    <w:rsid w:val="00C31F51"/>
    <w:rsid w:val="00C320B2"/>
    <w:rsid w:val="00C3216A"/>
    <w:rsid w:val="00C343B2"/>
    <w:rsid w:val="00C34B56"/>
    <w:rsid w:val="00C35095"/>
    <w:rsid w:val="00C35896"/>
    <w:rsid w:val="00C36A01"/>
    <w:rsid w:val="00C37FF4"/>
    <w:rsid w:val="00C40329"/>
    <w:rsid w:val="00C419EB"/>
    <w:rsid w:val="00C41DC1"/>
    <w:rsid w:val="00C421D0"/>
    <w:rsid w:val="00C42C81"/>
    <w:rsid w:val="00C437A6"/>
    <w:rsid w:val="00C43A84"/>
    <w:rsid w:val="00C45060"/>
    <w:rsid w:val="00C457BC"/>
    <w:rsid w:val="00C45F86"/>
    <w:rsid w:val="00C46450"/>
    <w:rsid w:val="00C46CF7"/>
    <w:rsid w:val="00C50C97"/>
    <w:rsid w:val="00C51FBB"/>
    <w:rsid w:val="00C52879"/>
    <w:rsid w:val="00C5289D"/>
    <w:rsid w:val="00C52A6D"/>
    <w:rsid w:val="00C52DBB"/>
    <w:rsid w:val="00C53D6B"/>
    <w:rsid w:val="00C549CC"/>
    <w:rsid w:val="00C54E16"/>
    <w:rsid w:val="00C56DD6"/>
    <w:rsid w:val="00C5795F"/>
    <w:rsid w:val="00C57A5A"/>
    <w:rsid w:val="00C57DBC"/>
    <w:rsid w:val="00C61F8D"/>
    <w:rsid w:val="00C61FE2"/>
    <w:rsid w:val="00C62229"/>
    <w:rsid w:val="00C63AEF"/>
    <w:rsid w:val="00C63CE3"/>
    <w:rsid w:val="00C63F45"/>
    <w:rsid w:val="00C67791"/>
    <w:rsid w:val="00C67F5F"/>
    <w:rsid w:val="00C67FCE"/>
    <w:rsid w:val="00C706A2"/>
    <w:rsid w:val="00C71003"/>
    <w:rsid w:val="00C7365A"/>
    <w:rsid w:val="00C7425C"/>
    <w:rsid w:val="00C74A4C"/>
    <w:rsid w:val="00C7534C"/>
    <w:rsid w:val="00C76350"/>
    <w:rsid w:val="00C76C93"/>
    <w:rsid w:val="00C774AE"/>
    <w:rsid w:val="00C77F57"/>
    <w:rsid w:val="00C80677"/>
    <w:rsid w:val="00C808F2"/>
    <w:rsid w:val="00C80D00"/>
    <w:rsid w:val="00C821A3"/>
    <w:rsid w:val="00C83D9B"/>
    <w:rsid w:val="00C87C52"/>
    <w:rsid w:val="00C915E1"/>
    <w:rsid w:val="00C91617"/>
    <w:rsid w:val="00C9174C"/>
    <w:rsid w:val="00C91B1B"/>
    <w:rsid w:val="00C91DF0"/>
    <w:rsid w:val="00C922B4"/>
    <w:rsid w:val="00C92743"/>
    <w:rsid w:val="00C92B11"/>
    <w:rsid w:val="00C92F2D"/>
    <w:rsid w:val="00C93173"/>
    <w:rsid w:val="00C932ED"/>
    <w:rsid w:val="00C9334E"/>
    <w:rsid w:val="00C94CA4"/>
    <w:rsid w:val="00C95319"/>
    <w:rsid w:val="00C953A8"/>
    <w:rsid w:val="00C9631A"/>
    <w:rsid w:val="00C96350"/>
    <w:rsid w:val="00C97390"/>
    <w:rsid w:val="00C9781F"/>
    <w:rsid w:val="00CA01BB"/>
    <w:rsid w:val="00CA07BE"/>
    <w:rsid w:val="00CA0CA5"/>
    <w:rsid w:val="00CA1C4C"/>
    <w:rsid w:val="00CA2860"/>
    <w:rsid w:val="00CA3496"/>
    <w:rsid w:val="00CA3D8F"/>
    <w:rsid w:val="00CA4C6E"/>
    <w:rsid w:val="00CA5705"/>
    <w:rsid w:val="00CA5F12"/>
    <w:rsid w:val="00CA5FD7"/>
    <w:rsid w:val="00CA6735"/>
    <w:rsid w:val="00CA72FF"/>
    <w:rsid w:val="00CA7674"/>
    <w:rsid w:val="00CA7DE2"/>
    <w:rsid w:val="00CB00EC"/>
    <w:rsid w:val="00CB19D9"/>
    <w:rsid w:val="00CB1BD6"/>
    <w:rsid w:val="00CB380C"/>
    <w:rsid w:val="00CB4919"/>
    <w:rsid w:val="00CB50A3"/>
    <w:rsid w:val="00CB5643"/>
    <w:rsid w:val="00CB5835"/>
    <w:rsid w:val="00CC03B2"/>
    <w:rsid w:val="00CC05B3"/>
    <w:rsid w:val="00CC1F50"/>
    <w:rsid w:val="00CC2A91"/>
    <w:rsid w:val="00CC3159"/>
    <w:rsid w:val="00CC3177"/>
    <w:rsid w:val="00CC446F"/>
    <w:rsid w:val="00CC4698"/>
    <w:rsid w:val="00CC52C6"/>
    <w:rsid w:val="00CC559A"/>
    <w:rsid w:val="00CC62B2"/>
    <w:rsid w:val="00CC6556"/>
    <w:rsid w:val="00CC65C4"/>
    <w:rsid w:val="00CC65C9"/>
    <w:rsid w:val="00CC7722"/>
    <w:rsid w:val="00CD001F"/>
    <w:rsid w:val="00CD07A5"/>
    <w:rsid w:val="00CD0852"/>
    <w:rsid w:val="00CD148F"/>
    <w:rsid w:val="00CD14E0"/>
    <w:rsid w:val="00CD2E75"/>
    <w:rsid w:val="00CD326E"/>
    <w:rsid w:val="00CD3730"/>
    <w:rsid w:val="00CD3D36"/>
    <w:rsid w:val="00CD4D3C"/>
    <w:rsid w:val="00CD4E42"/>
    <w:rsid w:val="00CD5037"/>
    <w:rsid w:val="00CD542E"/>
    <w:rsid w:val="00CD6D8B"/>
    <w:rsid w:val="00CE0B56"/>
    <w:rsid w:val="00CE11CE"/>
    <w:rsid w:val="00CE4686"/>
    <w:rsid w:val="00CE7174"/>
    <w:rsid w:val="00CE723A"/>
    <w:rsid w:val="00CF0C49"/>
    <w:rsid w:val="00CF0E26"/>
    <w:rsid w:val="00CF1388"/>
    <w:rsid w:val="00CF1EEC"/>
    <w:rsid w:val="00CF25C1"/>
    <w:rsid w:val="00CF32B9"/>
    <w:rsid w:val="00CF3C4C"/>
    <w:rsid w:val="00CF4388"/>
    <w:rsid w:val="00CF4DDE"/>
    <w:rsid w:val="00CF5227"/>
    <w:rsid w:val="00CF566D"/>
    <w:rsid w:val="00CF7376"/>
    <w:rsid w:val="00D01B64"/>
    <w:rsid w:val="00D02393"/>
    <w:rsid w:val="00D05B87"/>
    <w:rsid w:val="00D06330"/>
    <w:rsid w:val="00D11731"/>
    <w:rsid w:val="00D126C4"/>
    <w:rsid w:val="00D129BA"/>
    <w:rsid w:val="00D12CE2"/>
    <w:rsid w:val="00D14134"/>
    <w:rsid w:val="00D152B2"/>
    <w:rsid w:val="00D15B4B"/>
    <w:rsid w:val="00D1600B"/>
    <w:rsid w:val="00D205BD"/>
    <w:rsid w:val="00D20FA8"/>
    <w:rsid w:val="00D21703"/>
    <w:rsid w:val="00D22193"/>
    <w:rsid w:val="00D24142"/>
    <w:rsid w:val="00D25CC7"/>
    <w:rsid w:val="00D267C1"/>
    <w:rsid w:val="00D30398"/>
    <w:rsid w:val="00D30E4B"/>
    <w:rsid w:val="00D3132C"/>
    <w:rsid w:val="00D3153E"/>
    <w:rsid w:val="00D341BF"/>
    <w:rsid w:val="00D35806"/>
    <w:rsid w:val="00D36651"/>
    <w:rsid w:val="00D367E2"/>
    <w:rsid w:val="00D4085B"/>
    <w:rsid w:val="00D4094E"/>
    <w:rsid w:val="00D41BAE"/>
    <w:rsid w:val="00D41D03"/>
    <w:rsid w:val="00D41D52"/>
    <w:rsid w:val="00D422B1"/>
    <w:rsid w:val="00D431B5"/>
    <w:rsid w:val="00D435F7"/>
    <w:rsid w:val="00D4371D"/>
    <w:rsid w:val="00D43E15"/>
    <w:rsid w:val="00D43FAF"/>
    <w:rsid w:val="00D45E5A"/>
    <w:rsid w:val="00D45ECD"/>
    <w:rsid w:val="00D508E5"/>
    <w:rsid w:val="00D53D5E"/>
    <w:rsid w:val="00D54279"/>
    <w:rsid w:val="00D55F77"/>
    <w:rsid w:val="00D55FE5"/>
    <w:rsid w:val="00D56C33"/>
    <w:rsid w:val="00D56E02"/>
    <w:rsid w:val="00D56EFA"/>
    <w:rsid w:val="00D5763D"/>
    <w:rsid w:val="00D57DF1"/>
    <w:rsid w:val="00D607EA"/>
    <w:rsid w:val="00D6128C"/>
    <w:rsid w:val="00D614A7"/>
    <w:rsid w:val="00D6227F"/>
    <w:rsid w:val="00D62ACE"/>
    <w:rsid w:val="00D62DD7"/>
    <w:rsid w:val="00D631F4"/>
    <w:rsid w:val="00D63BBF"/>
    <w:rsid w:val="00D6428F"/>
    <w:rsid w:val="00D64FC5"/>
    <w:rsid w:val="00D65C8B"/>
    <w:rsid w:val="00D65E07"/>
    <w:rsid w:val="00D67A61"/>
    <w:rsid w:val="00D67EEE"/>
    <w:rsid w:val="00D70877"/>
    <w:rsid w:val="00D71A72"/>
    <w:rsid w:val="00D71D62"/>
    <w:rsid w:val="00D72242"/>
    <w:rsid w:val="00D72F53"/>
    <w:rsid w:val="00D73662"/>
    <w:rsid w:val="00D73B25"/>
    <w:rsid w:val="00D76387"/>
    <w:rsid w:val="00D765DD"/>
    <w:rsid w:val="00D811AA"/>
    <w:rsid w:val="00D814B8"/>
    <w:rsid w:val="00D822A6"/>
    <w:rsid w:val="00D82C76"/>
    <w:rsid w:val="00D84B5B"/>
    <w:rsid w:val="00D86A0A"/>
    <w:rsid w:val="00D87298"/>
    <w:rsid w:val="00D90211"/>
    <w:rsid w:val="00D91A75"/>
    <w:rsid w:val="00D91E95"/>
    <w:rsid w:val="00D92431"/>
    <w:rsid w:val="00D93453"/>
    <w:rsid w:val="00D93C7A"/>
    <w:rsid w:val="00D95781"/>
    <w:rsid w:val="00D95CAE"/>
    <w:rsid w:val="00D96A07"/>
    <w:rsid w:val="00D9725E"/>
    <w:rsid w:val="00DA0093"/>
    <w:rsid w:val="00DA01E8"/>
    <w:rsid w:val="00DA08ED"/>
    <w:rsid w:val="00DA20A7"/>
    <w:rsid w:val="00DA23FB"/>
    <w:rsid w:val="00DA2BC9"/>
    <w:rsid w:val="00DA306A"/>
    <w:rsid w:val="00DA3257"/>
    <w:rsid w:val="00DA402C"/>
    <w:rsid w:val="00DA4964"/>
    <w:rsid w:val="00DA59ED"/>
    <w:rsid w:val="00DA5F45"/>
    <w:rsid w:val="00DA634F"/>
    <w:rsid w:val="00DA76CB"/>
    <w:rsid w:val="00DA7A34"/>
    <w:rsid w:val="00DB00DF"/>
    <w:rsid w:val="00DB1C4B"/>
    <w:rsid w:val="00DB1E8F"/>
    <w:rsid w:val="00DB3045"/>
    <w:rsid w:val="00DB4364"/>
    <w:rsid w:val="00DB585B"/>
    <w:rsid w:val="00DB5FD5"/>
    <w:rsid w:val="00DB7C7E"/>
    <w:rsid w:val="00DB7EBE"/>
    <w:rsid w:val="00DB7F75"/>
    <w:rsid w:val="00DC05BA"/>
    <w:rsid w:val="00DC09F2"/>
    <w:rsid w:val="00DC3F9A"/>
    <w:rsid w:val="00DC585F"/>
    <w:rsid w:val="00DC5CD9"/>
    <w:rsid w:val="00DC651A"/>
    <w:rsid w:val="00DD0DAE"/>
    <w:rsid w:val="00DD0F89"/>
    <w:rsid w:val="00DD17D0"/>
    <w:rsid w:val="00DD1D1D"/>
    <w:rsid w:val="00DD3853"/>
    <w:rsid w:val="00DD5C8E"/>
    <w:rsid w:val="00DD7104"/>
    <w:rsid w:val="00DD7429"/>
    <w:rsid w:val="00DD7B1B"/>
    <w:rsid w:val="00DE08A2"/>
    <w:rsid w:val="00DE0D68"/>
    <w:rsid w:val="00DE1915"/>
    <w:rsid w:val="00DE1FF8"/>
    <w:rsid w:val="00DE3CB0"/>
    <w:rsid w:val="00DE40A6"/>
    <w:rsid w:val="00DE62AF"/>
    <w:rsid w:val="00DE74F4"/>
    <w:rsid w:val="00DE7C08"/>
    <w:rsid w:val="00DF2098"/>
    <w:rsid w:val="00DF32FB"/>
    <w:rsid w:val="00DF3F5F"/>
    <w:rsid w:val="00DF4AA1"/>
    <w:rsid w:val="00DF4B11"/>
    <w:rsid w:val="00DF530D"/>
    <w:rsid w:val="00DF5D29"/>
    <w:rsid w:val="00DF5E38"/>
    <w:rsid w:val="00DF69FB"/>
    <w:rsid w:val="00DF6F80"/>
    <w:rsid w:val="00DF7A7D"/>
    <w:rsid w:val="00DF7C3C"/>
    <w:rsid w:val="00E003A4"/>
    <w:rsid w:val="00E01084"/>
    <w:rsid w:val="00E018C9"/>
    <w:rsid w:val="00E03540"/>
    <w:rsid w:val="00E03862"/>
    <w:rsid w:val="00E03B8B"/>
    <w:rsid w:val="00E04743"/>
    <w:rsid w:val="00E05359"/>
    <w:rsid w:val="00E06262"/>
    <w:rsid w:val="00E079D3"/>
    <w:rsid w:val="00E07A9D"/>
    <w:rsid w:val="00E07D8B"/>
    <w:rsid w:val="00E11111"/>
    <w:rsid w:val="00E11CEF"/>
    <w:rsid w:val="00E11D91"/>
    <w:rsid w:val="00E12348"/>
    <w:rsid w:val="00E14B31"/>
    <w:rsid w:val="00E14C4B"/>
    <w:rsid w:val="00E15046"/>
    <w:rsid w:val="00E151FC"/>
    <w:rsid w:val="00E1619B"/>
    <w:rsid w:val="00E221B8"/>
    <w:rsid w:val="00E22620"/>
    <w:rsid w:val="00E238E0"/>
    <w:rsid w:val="00E2422C"/>
    <w:rsid w:val="00E25129"/>
    <w:rsid w:val="00E25B6C"/>
    <w:rsid w:val="00E26114"/>
    <w:rsid w:val="00E26158"/>
    <w:rsid w:val="00E2635A"/>
    <w:rsid w:val="00E26377"/>
    <w:rsid w:val="00E26858"/>
    <w:rsid w:val="00E2710C"/>
    <w:rsid w:val="00E30362"/>
    <w:rsid w:val="00E31B90"/>
    <w:rsid w:val="00E31EBD"/>
    <w:rsid w:val="00E31FA5"/>
    <w:rsid w:val="00E3225A"/>
    <w:rsid w:val="00E32350"/>
    <w:rsid w:val="00E33CD5"/>
    <w:rsid w:val="00E3412A"/>
    <w:rsid w:val="00E348C2"/>
    <w:rsid w:val="00E34D8B"/>
    <w:rsid w:val="00E35561"/>
    <w:rsid w:val="00E35CF5"/>
    <w:rsid w:val="00E35E77"/>
    <w:rsid w:val="00E36C54"/>
    <w:rsid w:val="00E3799F"/>
    <w:rsid w:val="00E37A8A"/>
    <w:rsid w:val="00E4019A"/>
    <w:rsid w:val="00E40CA1"/>
    <w:rsid w:val="00E4150D"/>
    <w:rsid w:val="00E41D90"/>
    <w:rsid w:val="00E42371"/>
    <w:rsid w:val="00E42C05"/>
    <w:rsid w:val="00E42FCF"/>
    <w:rsid w:val="00E43A12"/>
    <w:rsid w:val="00E45390"/>
    <w:rsid w:val="00E45CF4"/>
    <w:rsid w:val="00E45E1B"/>
    <w:rsid w:val="00E467D4"/>
    <w:rsid w:val="00E46BE9"/>
    <w:rsid w:val="00E4784E"/>
    <w:rsid w:val="00E47D64"/>
    <w:rsid w:val="00E503E8"/>
    <w:rsid w:val="00E5085B"/>
    <w:rsid w:val="00E50BF0"/>
    <w:rsid w:val="00E51DE7"/>
    <w:rsid w:val="00E52334"/>
    <w:rsid w:val="00E55008"/>
    <w:rsid w:val="00E55492"/>
    <w:rsid w:val="00E55D3E"/>
    <w:rsid w:val="00E55DA2"/>
    <w:rsid w:val="00E57D4F"/>
    <w:rsid w:val="00E57DAF"/>
    <w:rsid w:val="00E61AF6"/>
    <w:rsid w:val="00E6206B"/>
    <w:rsid w:val="00E62452"/>
    <w:rsid w:val="00E64D23"/>
    <w:rsid w:val="00E67060"/>
    <w:rsid w:val="00E67909"/>
    <w:rsid w:val="00E67A1E"/>
    <w:rsid w:val="00E67C2B"/>
    <w:rsid w:val="00E70976"/>
    <w:rsid w:val="00E71630"/>
    <w:rsid w:val="00E7174C"/>
    <w:rsid w:val="00E7287E"/>
    <w:rsid w:val="00E739FB"/>
    <w:rsid w:val="00E739FF"/>
    <w:rsid w:val="00E74EBF"/>
    <w:rsid w:val="00E75352"/>
    <w:rsid w:val="00E76CC9"/>
    <w:rsid w:val="00E76F13"/>
    <w:rsid w:val="00E77610"/>
    <w:rsid w:val="00E80178"/>
    <w:rsid w:val="00E80969"/>
    <w:rsid w:val="00E8105D"/>
    <w:rsid w:val="00E8373B"/>
    <w:rsid w:val="00E85591"/>
    <w:rsid w:val="00E8582E"/>
    <w:rsid w:val="00E85854"/>
    <w:rsid w:val="00E85CB7"/>
    <w:rsid w:val="00E871D6"/>
    <w:rsid w:val="00E8744F"/>
    <w:rsid w:val="00E87D0A"/>
    <w:rsid w:val="00E87FAC"/>
    <w:rsid w:val="00E91532"/>
    <w:rsid w:val="00E93FF2"/>
    <w:rsid w:val="00E94406"/>
    <w:rsid w:val="00E95C9B"/>
    <w:rsid w:val="00E962B8"/>
    <w:rsid w:val="00E9783C"/>
    <w:rsid w:val="00E97F53"/>
    <w:rsid w:val="00EA04AE"/>
    <w:rsid w:val="00EA28E4"/>
    <w:rsid w:val="00EA3485"/>
    <w:rsid w:val="00EA53E1"/>
    <w:rsid w:val="00EA5573"/>
    <w:rsid w:val="00EA5C9B"/>
    <w:rsid w:val="00EA5CB0"/>
    <w:rsid w:val="00EA5E42"/>
    <w:rsid w:val="00EA6853"/>
    <w:rsid w:val="00EA729C"/>
    <w:rsid w:val="00EA7490"/>
    <w:rsid w:val="00EA7601"/>
    <w:rsid w:val="00EA7ACC"/>
    <w:rsid w:val="00EA7D74"/>
    <w:rsid w:val="00EB1E6C"/>
    <w:rsid w:val="00EB27F4"/>
    <w:rsid w:val="00EB2923"/>
    <w:rsid w:val="00EB2F20"/>
    <w:rsid w:val="00EB3B14"/>
    <w:rsid w:val="00EB4C96"/>
    <w:rsid w:val="00EB4EB5"/>
    <w:rsid w:val="00EB56E9"/>
    <w:rsid w:val="00EB5AD2"/>
    <w:rsid w:val="00EB7F52"/>
    <w:rsid w:val="00EC0599"/>
    <w:rsid w:val="00EC1708"/>
    <w:rsid w:val="00EC3E15"/>
    <w:rsid w:val="00EC3E8B"/>
    <w:rsid w:val="00EC3FCD"/>
    <w:rsid w:val="00EC44CD"/>
    <w:rsid w:val="00EC62AD"/>
    <w:rsid w:val="00EC65C0"/>
    <w:rsid w:val="00EC65CB"/>
    <w:rsid w:val="00EC66ED"/>
    <w:rsid w:val="00EC6D95"/>
    <w:rsid w:val="00ED1141"/>
    <w:rsid w:val="00ED31EC"/>
    <w:rsid w:val="00ED3220"/>
    <w:rsid w:val="00ED3820"/>
    <w:rsid w:val="00ED4B1A"/>
    <w:rsid w:val="00ED4C9F"/>
    <w:rsid w:val="00ED77CB"/>
    <w:rsid w:val="00ED7A7D"/>
    <w:rsid w:val="00EE0FE4"/>
    <w:rsid w:val="00EE15BD"/>
    <w:rsid w:val="00EE1C2D"/>
    <w:rsid w:val="00EE3751"/>
    <w:rsid w:val="00EE4EED"/>
    <w:rsid w:val="00EE512F"/>
    <w:rsid w:val="00EF0429"/>
    <w:rsid w:val="00EF2A5B"/>
    <w:rsid w:val="00EF3537"/>
    <w:rsid w:val="00EF624A"/>
    <w:rsid w:val="00EF7795"/>
    <w:rsid w:val="00F00F73"/>
    <w:rsid w:val="00F013FC"/>
    <w:rsid w:val="00F0140B"/>
    <w:rsid w:val="00F01CD4"/>
    <w:rsid w:val="00F02197"/>
    <w:rsid w:val="00F03197"/>
    <w:rsid w:val="00F0338A"/>
    <w:rsid w:val="00F0357B"/>
    <w:rsid w:val="00F043C9"/>
    <w:rsid w:val="00F04B3D"/>
    <w:rsid w:val="00F04C38"/>
    <w:rsid w:val="00F051F3"/>
    <w:rsid w:val="00F05EBA"/>
    <w:rsid w:val="00F0607C"/>
    <w:rsid w:val="00F06605"/>
    <w:rsid w:val="00F073FE"/>
    <w:rsid w:val="00F0741C"/>
    <w:rsid w:val="00F101CA"/>
    <w:rsid w:val="00F107BE"/>
    <w:rsid w:val="00F10D31"/>
    <w:rsid w:val="00F10E8B"/>
    <w:rsid w:val="00F11BE3"/>
    <w:rsid w:val="00F11E02"/>
    <w:rsid w:val="00F11E15"/>
    <w:rsid w:val="00F1264C"/>
    <w:rsid w:val="00F12DD6"/>
    <w:rsid w:val="00F15550"/>
    <w:rsid w:val="00F1640D"/>
    <w:rsid w:val="00F16BA3"/>
    <w:rsid w:val="00F170C1"/>
    <w:rsid w:val="00F201B5"/>
    <w:rsid w:val="00F22146"/>
    <w:rsid w:val="00F222CE"/>
    <w:rsid w:val="00F22AE1"/>
    <w:rsid w:val="00F22CC4"/>
    <w:rsid w:val="00F23E7F"/>
    <w:rsid w:val="00F24EB7"/>
    <w:rsid w:val="00F25B5A"/>
    <w:rsid w:val="00F30A5E"/>
    <w:rsid w:val="00F31452"/>
    <w:rsid w:val="00F31959"/>
    <w:rsid w:val="00F32959"/>
    <w:rsid w:val="00F34C42"/>
    <w:rsid w:val="00F358AA"/>
    <w:rsid w:val="00F36F53"/>
    <w:rsid w:val="00F37175"/>
    <w:rsid w:val="00F37299"/>
    <w:rsid w:val="00F3736C"/>
    <w:rsid w:val="00F37B23"/>
    <w:rsid w:val="00F4046D"/>
    <w:rsid w:val="00F40E58"/>
    <w:rsid w:val="00F446C8"/>
    <w:rsid w:val="00F45B10"/>
    <w:rsid w:val="00F45D78"/>
    <w:rsid w:val="00F46CCD"/>
    <w:rsid w:val="00F479C8"/>
    <w:rsid w:val="00F47AEB"/>
    <w:rsid w:val="00F5216A"/>
    <w:rsid w:val="00F5252C"/>
    <w:rsid w:val="00F534B9"/>
    <w:rsid w:val="00F535B2"/>
    <w:rsid w:val="00F535C3"/>
    <w:rsid w:val="00F56ED1"/>
    <w:rsid w:val="00F62613"/>
    <w:rsid w:val="00F64E68"/>
    <w:rsid w:val="00F64F54"/>
    <w:rsid w:val="00F658F2"/>
    <w:rsid w:val="00F661AA"/>
    <w:rsid w:val="00F66432"/>
    <w:rsid w:val="00F66819"/>
    <w:rsid w:val="00F66A60"/>
    <w:rsid w:val="00F66AB1"/>
    <w:rsid w:val="00F66FA3"/>
    <w:rsid w:val="00F67ACD"/>
    <w:rsid w:val="00F703C1"/>
    <w:rsid w:val="00F72143"/>
    <w:rsid w:val="00F72399"/>
    <w:rsid w:val="00F73ABF"/>
    <w:rsid w:val="00F7479F"/>
    <w:rsid w:val="00F74D8D"/>
    <w:rsid w:val="00F81382"/>
    <w:rsid w:val="00F81514"/>
    <w:rsid w:val="00F81BB1"/>
    <w:rsid w:val="00F8244F"/>
    <w:rsid w:val="00F8263E"/>
    <w:rsid w:val="00F82C87"/>
    <w:rsid w:val="00F83843"/>
    <w:rsid w:val="00F852FE"/>
    <w:rsid w:val="00F85F9C"/>
    <w:rsid w:val="00F86101"/>
    <w:rsid w:val="00F86918"/>
    <w:rsid w:val="00F86EF7"/>
    <w:rsid w:val="00F8794B"/>
    <w:rsid w:val="00F906DA"/>
    <w:rsid w:val="00F923E6"/>
    <w:rsid w:val="00F9283C"/>
    <w:rsid w:val="00F95774"/>
    <w:rsid w:val="00F96739"/>
    <w:rsid w:val="00F97004"/>
    <w:rsid w:val="00F97F22"/>
    <w:rsid w:val="00FA01A4"/>
    <w:rsid w:val="00FA0B54"/>
    <w:rsid w:val="00FA0D3B"/>
    <w:rsid w:val="00FA230C"/>
    <w:rsid w:val="00FA3888"/>
    <w:rsid w:val="00FA525F"/>
    <w:rsid w:val="00FA5671"/>
    <w:rsid w:val="00FA62A2"/>
    <w:rsid w:val="00FA7DE4"/>
    <w:rsid w:val="00FB10BC"/>
    <w:rsid w:val="00FB23D7"/>
    <w:rsid w:val="00FB486C"/>
    <w:rsid w:val="00FB5531"/>
    <w:rsid w:val="00FB717C"/>
    <w:rsid w:val="00FB7D53"/>
    <w:rsid w:val="00FC0922"/>
    <w:rsid w:val="00FC2E51"/>
    <w:rsid w:val="00FC2E57"/>
    <w:rsid w:val="00FC3821"/>
    <w:rsid w:val="00FC4225"/>
    <w:rsid w:val="00FC4FB1"/>
    <w:rsid w:val="00FC4FB8"/>
    <w:rsid w:val="00FC7668"/>
    <w:rsid w:val="00FD0EF0"/>
    <w:rsid w:val="00FD1302"/>
    <w:rsid w:val="00FD18DF"/>
    <w:rsid w:val="00FD1FEE"/>
    <w:rsid w:val="00FD34A0"/>
    <w:rsid w:val="00FD3AE7"/>
    <w:rsid w:val="00FD697B"/>
    <w:rsid w:val="00FE083C"/>
    <w:rsid w:val="00FE1E61"/>
    <w:rsid w:val="00FE5563"/>
    <w:rsid w:val="00FE69FA"/>
    <w:rsid w:val="00FE6B19"/>
    <w:rsid w:val="00FE7852"/>
    <w:rsid w:val="00FF072B"/>
    <w:rsid w:val="00FF1701"/>
    <w:rsid w:val="00FF27E6"/>
    <w:rsid w:val="00FF2E7C"/>
    <w:rsid w:val="00FF38FC"/>
    <w:rsid w:val="00FF3B48"/>
    <w:rsid w:val="00FF47B5"/>
    <w:rsid w:val="00FF49E3"/>
    <w:rsid w:val="00FF4FB4"/>
    <w:rsid w:val="00FF511C"/>
    <w:rsid w:val="00FF5B56"/>
    <w:rsid w:val="4B6D6B9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99"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99"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iPriority="0" w:name="Plain Text"/>
    <w:lsdException w:uiPriority="0" w:name="E-mail Signature"/>
    <w:lsdException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Lines="100" w:afterLines="100" w:line="480" w:lineRule="atLeast"/>
      <w:jc w:val="center"/>
      <w:outlineLvl w:val="0"/>
    </w:pPr>
    <w:rPr>
      <w:b/>
      <w:spacing w:val="8"/>
      <w:kern w:val="0"/>
      <w:sz w:val="32"/>
      <w:szCs w:val="32"/>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38"/>
    <w:qFormat/>
    <w:uiPriority w:val="0"/>
    <w:pPr>
      <w:keepNext/>
      <w:keepLines/>
      <w:spacing w:before="260" w:after="260" w:line="416" w:lineRule="auto"/>
      <w:outlineLvl w:val="2"/>
    </w:pPr>
    <w:rPr>
      <w:b/>
      <w:bCs/>
      <w:sz w:val="32"/>
      <w:szCs w:val="32"/>
    </w:rPr>
  </w:style>
  <w:style w:type="character" w:default="1" w:styleId="19">
    <w:name w:val="Default Paragraph Font"/>
    <w:semiHidden/>
    <w:unhideWhenUsed/>
    <w:uiPriority w:val="1"/>
  </w:style>
  <w:style w:type="table" w:default="1" w:styleId="17">
    <w:name w:val="Normal Table"/>
    <w:semiHidden/>
    <w:unhideWhenUsed/>
    <w:uiPriority w:val="99"/>
    <w:tblPr>
      <w:tblCellMar>
        <w:top w:w="0" w:type="dxa"/>
        <w:left w:w="108" w:type="dxa"/>
        <w:bottom w:w="0" w:type="dxa"/>
        <w:right w:w="108" w:type="dxa"/>
      </w:tblCellMar>
    </w:tblPr>
  </w:style>
  <w:style w:type="paragraph" w:styleId="5">
    <w:name w:val="caption"/>
    <w:basedOn w:val="1"/>
    <w:next w:val="1"/>
    <w:link w:val="33"/>
    <w:qFormat/>
    <w:uiPriority w:val="0"/>
    <w:pPr>
      <w:spacing w:beforeLines="25" w:afterLines="25" w:line="300" w:lineRule="auto"/>
    </w:pPr>
    <w:rPr>
      <w:rFonts w:ascii="Arial" w:hAnsi="Arial" w:eastAsia="黑体"/>
      <w:sz w:val="20"/>
      <w:szCs w:val="20"/>
    </w:rPr>
  </w:style>
  <w:style w:type="paragraph" w:styleId="6">
    <w:name w:val="Document Map"/>
    <w:basedOn w:val="1"/>
    <w:link w:val="26"/>
    <w:qFormat/>
    <w:uiPriority w:val="0"/>
    <w:rPr>
      <w:rFonts w:ascii="宋体"/>
      <w:sz w:val="18"/>
      <w:szCs w:val="18"/>
    </w:rPr>
  </w:style>
  <w:style w:type="paragraph" w:styleId="7">
    <w:name w:val="annotation text"/>
    <w:basedOn w:val="1"/>
    <w:link w:val="37"/>
    <w:qFormat/>
    <w:uiPriority w:val="0"/>
    <w:pPr>
      <w:jc w:val="left"/>
    </w:pPr>
  </w:style>
  <w:style w:type="paragraph" w:styleId="8">
    <w:name w:val="Body Text"/>
    <w:basedOn w:val="1"/>
    <w:link w:val="32"/>
    <w:qFormat/>
    <w:uiPriority w:val="0"/>
    <w:pPr>
      <w:spacing w:after="120"/>
    </w:pPr>
  </w:style>
  <w:style w:type="paragraph" w:styleId="9">
    <w:name w:val="Body Text Indent"/>
    <w:basedOn w:val="1"/>
    <w:link w:val="34"/>
    <w:qFormat/>
    <w:uiPriority w:val="0"/>
    <w:pPr>
      <w:spacing w:line="360" w:lineRule="auto"/>
      <w:ind w:firstLine="560"/>
    </w:pPr>
    <w:rPr>
      <w:sz w:val="28"/>
      <w:szCs w:val="20"/>
    </w:rPr>
  </w:style>
  <w:style w:type="paragraph" w:styleId="10">
    <w:name w:val="Date"/>
    <w:basedOn w:val="1"/>
    <w:next w:val="1"/>
    <w:link w:val="41"/>
    <w:qFormat/>
    <w:uiPriority w:val="99"/>
    <w:pPr>
      <w:ind w:left="100" w:leftChars="2500"/>
    </w:pPr>
  </w:style>
  <w:style w:type="paragraph" w:styleId="11">
    <w:name w:val="Body Text Indent 2"/>
    <w:basedOn w:val="1"/>
    <w:qFormat/>
    <w:uiPriority w:val="0"/>
    <w:pPr>
      <w:spacing w:after="120" w:line="480" w:lineRule="auto"/>
      <w:ind w:left="420" w:leftChars="200"/>
    </w:pPr>
  </w:style>
  <w:style w:type="paragraph" w:styleId="12">
    <w:name w:val="Balloon Text"/>
    <w:basedOn w:val="1"/>
    <w:link w:val="27"/>
    <w:qFormat/>
    <w:uiPriority w:val="0"/>
    <w:rPr>
      <w:sz w:val="18"/>
      <w:szCs w:val="18"/>
    </w:rPr>
  </w:style>
  <w:style w:type="paragraph" w:styleId="13">
    <w:name w:val="footer"/>
    <w:basedOn w:val="1"/>
    <w:link w:val="35"/>
    <w:qFormat/>
    <w:uiPriority w:val="99"/>
    <w:pPr>
      <w:tabs>
        <w:tab w:val="center" w:pos="4153"/>
        <w:tab w:val="right" w:pos="8306"/>
      </w:tabs>
      <w:snapToGrid w:val="0"/>
      <w:jc w:val="left"/>
    </w:pPr>
    <w:rPr>
      <w:sz w:val="18"/>
      <w:szCs w:val="18"/>
    </w:rPr>
  </w:style>
  <w:style w:type="paragraph" w:styleId="14">
    <w:name w:val="header"/>
    <w:basedOn w:val="1"/>
    <w:link w:val="25"/>
    <w:qFormat/>
    <w:uiPriority w:val="0"/>
    <w:pPr>
      <w:pBdr>
        <w:bottom w:val="single" w:color="auto" w:sz="6" w:space="1"/>
      </w:pBdr>
      <w:tabs>
        <w:tab w:val="center" w:pos="4153"/>
        <w:tab w:val="right" w:pos="8306"/>
      </w:tabs>
      <w:snapToGrid w:val="0"/>
      <w:jc w:val="center"/>
    </w:pPr>
    <w:rPr>
      <w:sz w:val="18"/>
      <w:szCs w:val="18"/>
    </w:rPr>
  </w:style>
  <w:style w:type="paragraph" w:styleId="15">
    <w:name w:val="Normal (Web)"/>
    <w:basedOn w:val="1"/>
    <w:uiPriority w:val="99"/>
    <w:pPr>
      <w:widowControl/>
      <w:spacing w:before="100" w:beforeAutospacing="1" w:after="100" w:afterAutospacing="1"/>
      <w:jc w:val="left"/>
    </w:pPr>
    <w:rPr>
      <w:rFonts w:ascii="宋体" w:hAnsi="宋体" w:cs="宋体"/>
      <w:kern w:val="0"/>
      <w:sz w:val="24"/>
    </w:rPr>
  </w:style>
  <w:style w:type="paragraph" w:styleId="16">
    <w:name w:val="annotation subject"/>
    <w:basedOn w:val="7"/>
    <w:next w:val="7"/>
    <w:semiHidden/>
    <w:qFormat/>
    <w:uiPriority w:val="0"/>
    <w:rPr>
      <w:b/>
      <w:bCs/>
    </w:rPr>
  </w:style>
  <w:style w:type="table" w:styleId="18">
    <w:name w:val="Table Grid"/>
    <w:basedOn w:val="17"/>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0">
    <w:name w:val="page number"/>
    <w:basedOn w:val="19"/>
    <w:qFormat/>
    <w:uiPriority w:val="0"/>
  </w:style>
  <w:style w:type="character" w:styleId="21">
    <w:name w:val="annotation reference"/>
    <w:semiHidden/>
    <w:qFormat/>
    <w:uiPriority w:val="99"/>
    <w:rPr>
      <w:sz w:val="21"/>
      <w:szCs w:val="21"/>
    </w:rPr>
  </w:style>
  <w:style w:type="paragraph" w:customStyle="1" w:styleId="22">
    <w:name w:val="默认段落字体 Para Char"/>
    <w:basedOn w:val="1"/>
    <w:qFormat/>
    <w:uiPriority w:val="0"/>
    <w:rPr>
      <w:sz w:val="24"/>
    </w:rPr>
  </w:style>
  <w:style w:type="paragraph" w:styleId="23">
    <w:name w:val="List Paragraph"/>
    <w:basedOn w:val="1"/>
    <w:qFormat/>
    <w:uiPriority w:val="0"/>
    <w:pPr>
      <w:ind w:firstLine="420" w:firstLineChars="200"/>
    </w:pPr>
    <w:rPr>
      <w:rFonts w:ascii="Calibri" w:hAnsi="Calibri"/>
      <w:szCs w:val="22"/>
    </w:rPr>
  </w:style>
  <w:style w:type="paragraph" w:customStyle="1" w:styleId="24">
    <w:name w:val="列出段落1"/>
    <w:basedOn w:val="1"/>
    <w:qFormat/>
    <w:uiPriority w:val="0"/>
    <w:pPr>
      <w:ind w:firstLine="420" w:firstLineChars="200"/>
    </w:pPr>
    <w:rPr>
      <w:rFonts w:ascii="Calibri" w:hAnsi="Calibri"/>
      <w:szCs w:val="22"/>
    </w:rPr>
  </w:style>
  <w:style w:type="character" w:customStyle="1" w:styleId="25">
    <w:name w:val="页眉 Char"/>
    <w:link w:val="14"/>
    <w:qFormat/>
    <w:uiPriority w:val="0"/>
    <w:rPr>
      <w:kern w:val="2"/>
      <w:sz w:val="18"/>
      <w:szCs w:val="18"/>
    </w:rPr>
  </w:style>
  <w:style w:type="character" w:customStyle="1" w:styleId="26">
    <w:name w:val="文档结构图 Char"/>
    <w:link w:val="6"/>
    <w:qFormat/>
    <w:uiPriority w:val="0"/>
    <w:rPr>
      <w:rFonts w:ascii="宋体"/>
      <w:kern w:val="2"/>
      <w:sz w:val="18"/>
      <w:szCs w:val="18"/>
    </w:rPr>
  </w:style>
  <w:style w:type="character" w:customStyle="1" w:styleId="27">
    <w:name w:val="批注框文本 Char"/>
    <w:link w:val="12"/>
    <w:qFormat/>
    <w:uiPriority w:val="0"/>
    <w:rPr>
      <w:kern w:val="2"/>
      <w:sz w:val="18"/>
      <w:szCs w:val="18"/>
    </w:rPr>
  </w:style>
  <w:style w:type="paragraph" w:customStyle="1" w:styleId="28">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29">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30">
    <w:name w:val="其他发布部门"/>
    <w:basedOn w:val="1"/>
    <w:qFormat/>
    <w:uiPriority w:val="0"/>
    <w:pPr>
      <w:framePr w:w="7433" w:h="585" w:hRule="exact" w:hSpace="180" w:vSpace="180" w:wrap="around" w:vAnchor="margin" w:hAnchor="margin" w:xAlign="center" w:y="14401" w:anchorLock="1"/>
      <w:widowControl/>
      <w:spacing w:line="0" w:lineRule="atLeast"/>
      <w:jc w:val="center"/>
    </w:pPr>
    <w:rPr>
      <w:rFonts w:ascii="黑体" w:eastAsia="黑体"/>
      <w:spacing w:val="20"/>
      <w:w w:val="135"/>
      <w:kern w:val="0"/>
      <w:sz w:val="36"/>
      <w:szCs w:val="20"/>
    </w:rPr>
  </w:style>
  <w:style w:type="paragraph" w:customStyle="1" w:styleId="31">
    <w:name w:val="_Style 28"/>
    <w:basedOn w:val="1"/>
    <w:qFormat/>
    <w:uiPriority w:val="0"/>
    <w:pPr>
      <w:widowControl/>
      <w:spacing w:after="160" w:line="240" w:lineRule="exact"/>
      <w:jc w:val="left"/>
    </w:pPr>
    <w:rPr>
      <w:rFonts w:ascii="Verdana" w:hAnsi="Verdana" w:eastAsia="仿宋_GB2312"/>
      <w:kern w:val="0"/>
      <w:sz w:val="24"/>
      <w:szCs w:val="20"/>
      <w:lang w:eastAsia="en-US"/>
    </w:rPr>
  </w:style>
  <w:style w:type="character" w:customStyle="1" w:styleId="32">
    <w:name w:val="正文文本 Char"/>
    <w:link w:val="8"/>
    <w:qFormat/>
    <w:uiPriority w:val="0"/>
    <w:rPr>
      <w:kern w:val="2"/>
      <w:sz w:val="21"/>
      <w:szCs w:val="24"/>
    </w:rPr>
  </w:style>
  <w:style w:type="character" w:customStyle="1" w:styleId="33">
    <w:name w:val="题注 Char"/>
    <w:link w:val="5"/>
    <w:qFormat/>
    <w:uiPriority w:val="0"/>
    <w:rPr>
      <w:rFonts w:ascii="Arial" w:hAnsi="Arial" w:eastAsia="黑体" w:cs="Arial"/>
      <w:kern w:val="2"/>
    </w:rPr>
  </w:style>
  <w:style w:type="character" w:customStyle="1" w:styleId="34">
    <w:name w:val="正文文本缩进 Char"/>
    <w:link w:val="9"/>
    <w:qFormat/>
    <w:uiPriority w:val="0"/>
    <w:rPr>
      <w:kern w:val="2"/>
      <w:sz w:val="28"/>
    </w:rPr>
  </w:style>
  <w:style w:type="character" w:customStyle="1" w:styleId="35">
    <w:name w:val="页脚 Char"/>
    <w:link w:val="13"/>
    <w:qFormat/>
    <w:uiPriority w:val="99"/>
    <w:rPr>
      <w:kern w:val="2"/>
      <w:sz w:val="18"/>
      <w:szCs w:val="18"/>
    </w:rPr>
  </w:style>
  <w:style w:type="paragraph" w:customStyle="1" w:styleId="36">
    <w:name w:val="Revision"/>
    <w:hidden/>
    <w:semiHidden/>
    <w:qFormat/>
    <w:uiPriority w:val="99"/>
    <w:rPr>
      <w:rFonts w:ascii="Times New Roman" w:hAnsi="Times New Roman" w:eastAsia="宋体" w:cs="Times New Roman"/>
      <w:kern w:val="2"/>
      <w:sz w:val="21"/>
      <w:szCs w:val="24"/>
      <w:lang w:val="en-US" w:eastAsia="zh-CN" w:bidi="ar-SA"/>
    </w:rPr>
  </w:style>
  <w:style w:type="character" w:customStyle="1" w:styleId="37">
    <w:name w:val="批注文字 Char"/>
    <w:basedOn w:val="19"/>
    <w:link w:val="7"/>
    <w:qFormat/>
    <w:uiPriority w:val="0"/>
    <w:rPr>
      <w:kern w:val="2"/>
      <w:sz w:val="21"/>
      <w:szCs w:val="24"/>
    </w:rPr>
  </w:style>
  <w:style w:type="character" w:customStyle="1" w:styleId="38">
    <w:name w:val="标题 3 Char"/>
    <w:basedOn w:val="19"/>
    <w:link w:val="4"/>
    <w:qFormat/>
    <w:uiPriority w:val="0"/>
    <w:rPr>
      <w:b/>
      <w:bCs/>
      <w:kern w:val="2"/>
      <w:sz w:val="32"/>
      <w:szCs w:val="32"/>
    </w:rPr>
  </w:style>
  <w:style w:type="paragraph" w:customStyle="1" w:styleId="39">
    <w:name w:val="一级条标题"/>
    <w:next w:val="1"/>
    <w:qFormat/>
    <w:uiPriority w:val="0"/>
    <w:pPr>
      <w:outlineLvl w:val="2"/>
    </w:pPr>
    <w:rPr>
      <w:rFonts w:ascii="Times New Roman" w:hAnsi="Times New Roman" w:eastAsia="黑体" w:cs="Times New Roman"/>
      <w:sz w:val="21"/>
      <w:lang w:val="en-US" w:eastAsia="zh-CN" w:bidi="ar-SA"/>
    </w:rPr>
  </w:style>
  <w:style w:type="paragraph" w:customStyle="1" w:styleId="40">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41">
    <w:name w:val="日期 Char"/>
    <w:basedOn w:val="19"/>
    <w:link w:val="10"/>
    <w:qFormat/>
    <w:uiPriority w:val="99"/>
    <w:rPr>
      <w:kern w:val="2"/>
      <w:sz w:val="21"/>
      <w:szCs w:val="24"/>
    </w:rPr>
  </w:style>
  <w:style w:type="character" w:customStyle="1" w:styleId="42">
    <w:name w:val="MSG_EN_FONT_STYLE_NAME_TEMPLATE_ROLE_NUMBER MSG_EN_FONT_STYLE_NAME_BY_ROLE_TEXT 2 + MSG_EN_FONT_STYLE_MODIFER_NAME Times New Roman"/>
    <w:basedOn w:val="19"/>
    <w:qFormat/>
    <w:uiPriority w:val="0"/>
    <w:rPr>
      <w:rFonts w:ascii="Times New Roman" w:hAnsi="Times New Roman" w:eastAsia="Times New Roman" w:cs="Times New Roman"/>
      <w:color w:val="000000"/>
      <w:spacing w:val="20"/>
      <w:w w:val="100"/>
      <w:position w:val="0"/>
      <w:sz w:val="26"/>
      <w:szCs w:val="26"/>
      <w:u w:val="none"/>
      <w:shd w:val="clear" w:color="auto" w:fill="FFFFFF"/>
      <w:lang w:val="en-US" w:eastAsia="en-US" w:bidi="en-US"/>
    </w:rPr>
  </w:style>
  <w:style w:type="paragraph" w:customStyle="1" w:styleId="43">
    <w:name w:val="列出段落11"/>
    <w:basedOn w:val="1"/>
    <w:qFormat/>
    <w:uiPriority w:val="34"/>
    <w:pPr>
      <w:jc w:val="left"/>
    </w:pPr>
    <w:rPr>
      <w:rFonts w:eastAsia="仿宋"/>
      <w:sz w:val="30"/>
    </w:rPr>
  </w:style>
  <w:style w:type="paragraph" w:customStyle="1" w:styleId="44">
    <w:name w:val="条文说明专用 Char"/>
    <w:basedOn w:val="1"/>
    <w:link w:val="45"/>
    <w:qFormat/>
    <w:uiPriority w:val="0"/>
    <w:pPr>
      <w:snapToGrid w:val="0"/>
      <w:spacing w:before="156" w:beforeLines="50" w:line="360" w:lineRule="auto"/>
      <w:ind w:firstLine="420" w:firstLineChars="200"/>
    </w:pPr>
    <w:rPr>
      <w:rFonts w:ascii="楷体_GB2312" w:hAnsi="宋体" w:eastAsia="楷体_GB2312"/>
      <w:kern w:val="0"/>
      <w:szCs w:val="21"/>
    </w:rPr>
  </w:style>
  <w:style w:type="character" w:customStyle="1" w:styleId="45">
    <w:name w:val="条文说明专用 Char Char"/>
    <w:link w:val="44"/>
    <w:qFormat/>
    <w:uiPriority w:val="0"/>
    <w:rPr>
      <w:rFonts w:ascii="楷体_GB2312" w:hAnsi="宋体" w:eastAsia="楷体_GB2312"/>
      <w:sz w:val="21"/>
      <w:szCs w:val="21"/>
    </w:rPr>
  </w:style>
  <w:style w:type="paragraph" w:customStyle="1" w:styleId="46">
    <w:name w:val="二级条标题"/>
    <w:basedOn w:val="1"/>
    <w:next w:val="1"/>
    <w:qFormat/>
    <w:uiPriority w:val="0"/>
    <w:pPr>
      <w:widowControl/>
      <w:jc w:val="left"/>
      <w:outlineLvl w:val="3"/>
    </w:pPr>
    <w:rPr>
      <w:rFonts w:eastAsia="黑体"/>
      <w:kern w:val="0"/>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relations xmlns="http://www.yonyou.com/relation"/>
</file>

<file path=customXml/item4.xml><?xml version="1.0" encoding="utf-8"?>
<dataSourceCollection xmlns="http://www.yonyou.com/datasourc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AA1D290-65B4-48FF-96BB-0307A92549AD}">
  <ds:schemaRefs/>
</ds:datastoreItem>
</file>

<file path=customXml/itemProps3.xml><?xml version="1.0" encoding="utf-8"?>
<ds:datastoreItem xmlns:ds="http://schemas.openxmlformats.org/officeDocument/2006/customXml" ds:itemID="{B57D87CC-6E1E-47D4-A6CB-D79417F814B6}">
  <ds:schemaRefs/>
</ds:datastoreItem>
</file>

<file path=customXml/itemProps4.xml><?xml version="1.0" encoding="utf-8"?>
<ds:datastoreItem xmlns:ds="http://schemas.openxmlformats.org/officeDocument/2006/customXml" ds:itemID="{BC0F2750-A9C8-4DF6-BA7D-4473DD7FB8F6}">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11</Pages>
  <Words>790</Words>
  <Characters>4504</Characters>
  <Lines>37</Lines>
  <Paragraphs>10</Paragraphs>
  <TotalTime>91</TotalTime>
  <ScaleCrop>false</ScaleCrop>
  <LinksUpToDate>false</LinksUpToDate>
  <CharactersWithSpaces>5284</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2021-05-31T02:57:00Z</dcterms:created>
  <dc:creator>zhu_gh.yf</dc:creator>
  <cp:lastModifiedBy>cdjw</cp:lastModifiedBy>
  <cp:lastPrinted>2021-06-22T06:25:00Z</cp:lastPrinted>
  <dcterms:modified xsi:type="dcterms:W3CDTF">2021-10-21T09:25:29Z</dcterms:modified>
  <dc:title>关于局部修订《室外排水设计规范》的几个问题</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D0C742C02019429FBBEA23964886BA44</vt:lpwstr>
  </property>
</Properties>
</file>